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rPr>
          <w:rFonts w:hint="eastAsia" w:ascii="宋体" w:hAnsi="宋体" w:eastAsia="宋体" w:cs="宋体"/>
          <w:color w:val="333333"/>
          <w:sz w:val="28"/>
          <w:szCs w:val="28"/>
        </w:rPr>
      </w:pPr>
      <w:bookmarkStart w:id="0" w:name="_GoBack"/>
      <w:r>
        <w:rPr>
          <w:rFonts w:hint="eastAsia" w:ascii="宋体" w:hAnsi="宋体" w:eastAsia="宋体" w:cs="宋体"/>
          <w:i w:val="0"/>
          <w:caps w:val="0"/>
          <w:color w:val="333333"/>
          <w:spacing w:val="0"/>
          <w:sz w:val="28"/>
          <w:szCs w:val="28"/>
          <w:bdr w:val="none" w:color="auto" w:sz="0" w:space="0"/>
        </w:rPr>
        <w:t>高等学校哲学社会科学繁荣计划专项资金管理办法</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378" w:lineRule="atLeast"/>
        <w:ind w:left="0" w:right="0"/>
        <w:jc w:val="center"/>
        <w:rPr>
          <w:rFonts w:hint="eastAsia" w:ascii="宋体" w:hAnsi="宋体" w:eastAsia="宋体" w:cs="宋体"/>
          <w:sz w:val="21"/>
          <w:szCs w:val="21"/>
        </w:rPr>
      </w:pPr>
      <w:r>
        <w:rPr>
          <w:rStyle w:val="5"/>
          <w:rFonts w:hint="eastAsia" w:ascii="宋体" w:hAnsi="宋体" w:eastAsia="宋体" w:cs="宋体"/>
          <w:i w:val="0"/>
          <w:caps w:val="0"/>
          <w:color w:val="000000"/>
          <w:spacing w:val="0"/>
          <w:sz w:val="21"/>
          <w:szCs w:val="21"/>
          <w:bdr w:val="none" w:color="auto" w:sz="0" w:space="0"/>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378" w:lineRule="atLeast"/>
        <w:ind w:left="0" w:right="0"/>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rPr>
        <w:t>　　第一条 为促进高校哲学社会科学事业持续健康协调发展，加强和规范高等学校哲学社会科学繁荣计划专项资金（以下简称繁荣计划专项资金）管理，提高资金使用效益，根据党中央、国务院关于深入推进高等学校哲学社会科学繁荣发展的有关精神、《中共中央办公厅 国务院办公厅关于进一步完善中央财政科研项目资金管理等政策的若干意见》以及国家财政财务管理有关法律法规，制定本办法。</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第二条 繁荣计划专项资金由中央财政安排，是用于支持“高等学校哲学社会科学繁荣计划”（以下简称繁荣计划）社会科学研究、学科发展、人才培养和队伍建设的专项资金。</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第三条 繁荣计划专项资金以促进出成果、出人才为目标，坚持以人为本、遵循规律、“放管服”结合，坚持统筹规划、分类实施、专款专用、规范高效的管理原则。繁荣计划专项资金管理充分体现质量创新和实际贡献，赋予依托学校和项目负责人更大的管理权限。在简政放权的同时，注重规范管理、改进服务，为科研人员潜心研究创造良好条件和宽松环境，充分调动科研人员积极性创造性。</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第四条 财政部、教育部负责制定繁荣计划专项资金管理制度，研究制定预算安排的总体方案。教育部负责编制繁荣计划专项资金年度预算、组织实施和管理监督工作，建立健全项目绩效考评机制。</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第五条 项目依托学校是繁荣计划项目实施和资金管理使用的责任主体，应当制定和完善本单位项目和资金管理办法，按要求具体负责项目组织、实施、评价等全过程管理；将项目资金纳入学校预算，指导和审核项目预算编制，承担项目资金的财务管理和会计核算，监督项目资金使用，审核项目决算。</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项目依托学校的财务和科研管理等相关部门，要根据学科特点和实际需要,加强对项目预算执行和资金使用的指导；注重科学管理、改进服务，为项目实施提供条件保障。</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第六条 项目负责人是项目管理和资金使用的直接责任人，应当按照本办法规定，科学编制项目预算和决算，合理合规使用资金。</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项目负责人应当严格遵守国家预算和财务管理规定，对资金使用和项目实施的合规性、合理性、真实性和相关性负责，并承担相应的经济与法律责任。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378" w:lineRule="atLeast"/>
        <w:ind w:left="0" w:right="0"/>
        <w:jc w:val="center"/>
        <w:rPr>
          <w:rFonts w:hint="eastAsia" w:ascii="宋体" w:hAnsi="宋体" w:eastAsia="宋体" w:cs="宋体"/>
          <w:sz w:val="21"/>
          <w:szCs w:val="21"/>
        </w:rPr>
      </w:pPr>
      <w:r>
        <w:rPr>
          <w:rStyle w:val="5"/>
          <w:rFonts w:hint="eastAsia" w:ascii="宋体" w:hAnsi="宋体" w:eastAsia="宋体" w:cs="宋体"/>
          <w:i w:val="0"/>
          <w:caps w:val="0"/>
          <w:color w:val="000000"/>
          <w:spacing w:val="0"/>
          <w:sz w:val="21"/>
          <w:szCs w:val="21"/>
          <w:bdr w:val="none" w:color="auto" w:sz="0" w:space="0"/>
        </w:rPr>
        <w:t>第二章  支出范围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378" w:lineRule="atLeast"/>
        <w:ind w:left="0" w:right="0"/>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rPr>
        <w:t>　　第七条 繁荣计划专项资金分为研究项目资金、非研究项目资金和管理资金。</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第八条 本办法第七条所称研究项目是指围绕繁荣计划建设任务设立的各类高校哲学社会科学研究项目的总称。研究项目资金包括在项目研究过程中发生的直接费用和间接费用。</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第九条 直接费用包括图书资料费、数据采集费、会议费/差旅费/国际合作与交流费、设备费、专家咨询费、劳务费、印刷费/宣传费等。其中：</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图书资料费：指在项目研究过程中购买必要的图书（包括外文图书）、专业软件，资料收集、整理、录入、复印、翻拍、翻译，文献检索等费用。</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数据采集费：指在项目研究过程中开展问卷调查、田野调查、数据购买、数据分析及相应技术服务购买等费用。</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会议费/差旅费/国际合作与交流费：指围绕项目研究组织开展学术研讨、咨询交流、考察调研等活动而发生的会议、交通、食宿费用，以及项目研究人员出国及赴港澳台地区、外国专家来华及港澳台地区专家来内地开展学术合作与交流的费用。其中，不超过直接费用20%的，不需要提供预算测算依据。</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设备费：指在项目研究过程中购置设备和设备耗材、升级维护现有设备以及租用外单位设备而发生的费用。应当严格控制设备购置，鼓励共享、租赁以及对现有设备进行升级改造。</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专家咨询费：指在项目研究过程中支付给临时聘请的咨询专家的费用。专家咨询费由项目负责人按照项目研究实际需要编制，支出标准按照国家有关规定执行。</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劳务费：指在项目研究过程中支付给参与项目研究的研究生、博士后、访问学者和项目聘用的研究人员、科研辅助人员等的劳务费用。项目聘用人员的劳务费开支标准，参照当地科学研究和技术服务业人员平均工资水平以及在项目研究中承担的工作任务确定，其社会保险补助费用纳入劳务费列支。劳务费预算由项目负责人按照项目研究实际需要编制。</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印刷费/宣传费：指在项目研究过程中支付的打印、印刷和出版、成果推介等费用。</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其他：指与项目研究直接相关的除上述费用之外的其他支出。其他支出应当在项目预算中单独列示，单独核定。</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第十条 间接费用是指项目依托学校在组织实施项目过程中发生的无法在直接费用中列支的相关费用，主要包括补偿学校为项目研究提供的现有仪器设备及房屋、水、电、气、暖消耗等间接成本，有关管理工作费用，以及激励科研人员的绩效支出等。</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间接费用一般按照不超过项目支出总额的一定比例核定。具体比例如下：50万元及以下部分为30%；超过50万元至500万元的部分为20%；超过500万元的部分为13%。严禁超额提取、变相提取和重复提取。</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间接费用应当纳入项目依托学校预算统筹安排，合规合理使用。项目依托学校统筹安排间接费用时，应当处理好合理分摊间接成本和对科研人员激励的关系，绩效支出安排应当结合项目研究进度和完成质量，与科研人员在项目工作中的实际贡献挂钩。</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第十一条 非研究项目资金指支撑高校哲学社会科学科研机构、团队以及智库运行、优秀成果奖励等繁荣计划建设项目的资金。</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非研究项目资金按照“绩效导向、稳定支持、协议管理、动态调整”的原则进行资助和管理，可以通过第三方评估将相关优秀的研究机构（或者智库、团队）纳入资助范围。</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在财政部、教育部核定的资金总额内，依托高校和相关研究机构（或者智库、团队）根据绩效目标，围绕实现培养拔尖人才、服务国家重大战略、推出学术精品力作、扩大对外学术交流等任务，按规定自主编制资金预算，自主决定使用方向。同时，应当完善资金管理办法，提高资金使用效益，注重发挥绩效激励作用，尊重科研工作者的创造性劳动，体现知识创造价值。</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教育部与依托学校、受资助研究机构（或者智库、团队）约定建设周期内的目标任务，委托第三方进行评价考核，根据实际绩效实行有差别的稳定支持，并采取优胜劣汰、动态调整的管理方式。</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财政部、教育部按规定对获得教育部科学研究优秀成果奖（人文社会科学）的成果进行奖励，对被采用和向有关部门报送的有价值、高水平的咨政成果实行后期资助和事后奖励。学校不得对奖励资金提取间接费用。</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第十二条 管理资金是指教育部在实施繁荣计划过程中组织、协调、评审、鉴定等管理性工作所需费用。</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在繁荣计划实施过程中，应按照“管、办、评”分离原则，推进政府购买服务，规范向社会力量购买服务的程序和方式，切实转变政府职能。</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第十三条 繁荣计划专项资金项目中的相关开支标准，按照国家以及项目依托学校的有关规定执行。</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第十四条 繁荣计划专项资金应当专款专用，不得用于偿还贷款、支付罚款、捐赠、赞助、对外投资等支出，不得用于本单位编制内人员的工资支出，不得用于繁荣计划建设项目之外的支出，不得用于其他不符合国家规定的支出。</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项目负责人应当按照批准的项目预算，在依托学校财务、科研管理部门的指导下使用项目资金；依托学校和个人不得以任何理由和方式截留、挤占和挪用。繁荣计划专项资金项目中涉及仪器设备采购的，按国家关于政府采购的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378" w:lineRule="atLeast"/>
        <w:ind w:left="0" w:right="0"/>
        <w:jc w:val="center"/>
        <w:rPr>
          <w:rFonts w:hint="eastAsia" w:ascii="宋体" w:hAnsi="宋体" w:eastAsia="宋体" w:cs="宋体"/>
          <w:sz w:val="21"/>
          <w:szCs w:val="21"/>
        </w:rPr>
      </w:pPr>
      <w:r>
        <w:rPr>
          <w:rStyle w:val="5"/>
          <w:rFonts w:hint="eastAsia" w:ascii="宋体" w:hAnsi="宋体" w:eastAsia="宋体" w:cs="宋体"/>
          <w:i w:val="0"/>
          <w:caps w:val="0"/>
          <w:color w:val="000000"/>
          <w:spacing w:val="0"/>
          <w:sz w:val="21"/>
          <w:szCs w:val="21"/>
          <w:bdr w:val="none" w:color="auto" w:sz="0" w:space="0"/>
        </w:rPr>
        <w:t>第三章  预算管理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378" w:lineRule="atLeast"/>
        <w:ind w:left="0" w:right="0"/>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rPr>
        <w:t>　　第十五条 项目申请人在申报繁荣计划项目资金时，应当根据项目类别和要求，按照项目实际需要和资金开支范围规定，科学合理、实事求是地按年度编制项目预算、设定项目绩效目标，并对直接费用支出的主要用途和测算理由等作出说明。</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项目资金需要转拨协作单位的，应在预算中单独列示，并对外协单位资质、承担的研究任务、外拨资金额度等进行详细说明。项目负责人应对合作（外协）业务的真实性、相关性负责。间接费用外拨金额，由项目依托学校和合作研究单位协商确定。</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第十六条 教育部根据繁荣计划建设目标和建设内容，重点对项目预算的目标相关性、政策相符性、经济合理性进行评审。应建立评审专家库，建立和完善评审专家的遴选、回避、信用和问责制度。</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第十七条 教育部根据部门预算编制要求，在部门预算“一上”时，将繁荣计划专项资金三年支出规划和年度预算建议数报送财政部，财政部按部门预算程序审核后批复年度预算。</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第十八条 教育部根据繁荣计划项目类别和完成期限向项目依托学校下达项目预算。其中，研究项目预算一次核定、按年度分期分批下达。未通过年度或中期检查的，停止下达下一年度后续项目预算；非研究项目资金采取一次核定、按年度一次性下达。 </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繁荣计划专项资金支付按照国库集中支付制度有关规定执行。</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第十九条 项目依托学校应当将资金纳入学校财务部门统一管理。</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学校应当严格按照国家有关规定和本办法规定，制定内部管理办法，明确审批程序、管理要求和报销规定，落实项目预算调剂、间接费用统筹使用、劳务费分配管理、结转结余资金使用等管理权限，建立健全内控制度，加强对项目资金的监督和管理。</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学校应当指导项目负责人科学合理编制预算，规范预算调剂程序，完善项目资金支出、报销审核监督制度，加强对专家咨询费、劳务费、外拨资金、间接费用、结转结余资金等的审核和管理。</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学校应当强化对合作项目真实性、可行性和合规性的审核，严格防止虚假资源匹配和虚假合作，坚决杜绝假借合作名义骗取资金。</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学校应当建立健全科研财务助理制度，为科研人员在项目预算编制和调剂、资金支出、项目资金决算和验收等方面提供专业化服务。充分利用信息化手段，建立健全单位内部科研、财务、项目负责人共享的信息平台，提高科研管理效率和便利化程度。</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第二十条 项目预算一经批复，必须严格执行。确需调剂的，应当按规定报批。</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由于研究内容或者研究计划作出重大调整等原因，确需增加或减少预算总额的，由依托学校审核同意后报教育部审批。</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在项目预算总额不变的情况下，支出科目和金额确需调剂的，由项目负责人根据实际需要提出调剂申请，报依托学校审批。会议费/差旅费/国际合作与交流费、劳务费、　　　　专家咨询费预算一般不予调增，可以调减用于项目其他方面支出。如有特殊情况确需调增的，由项目负责人提出申请，经学校审核同意后，报教育部审批。间接费用原则上不得调剂。原项目预算未列示外拨资金，需要增列的，或者已列示的外拨资金确需调整的，由项目负责人提出申请，报依托学校审批。</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第二十一条 项目依托学校应当严格执行国家有关资金支出管理制度。对应当实行“公务卡”结算的支出，按照公务卡结算的有关规定执行。专家咨询费、劳务费等支出，原则上应当通过银行转账方式结算，从严控制现金支出事项。</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对于野外考察、数据采集等科研活动中无法取得发票或财政性票据的支出，在确保真实性的前提下，依托学校可按实际发生额予以报销。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378" w:lineRule="atLeast"/>
        <w:ind w:left="0" w:right="0"/>
        <w:jc w:val="center"/>
        <w:rPr>
          <w:rFonts w:hint="eastAsia" w:ascii="宋体" w:hAnsi="宋体" w:eastAsia="宋体" w:cs="宋体"/>
          <w:sz w:val="21"/>
          <w:szCs w:val="21"/>
        </w:rPr>
      </w:pPr>
      <w:r>
        <w:rPr>
          <w:rStyle w:val="5"/>
          <w:rFonts w:hint="eastAsia" w:ascii="宋体" w:hAnsi="宋体" w:eastAsia="宋体" w:cs="宋体"/>
          <w:i w:val="0"/>
          <w:caps w:val="0"/>
          <w:color w:val="000000"/>
          <w:spacing w:val="0"/>
          <w:sz w:val="21"/>
          <w:szCs w:val="21"/>
          <w:bdr w:val="none" w:color="auto" w:sz="0" w:space="0"/>
        </w:rPr>
        <w:t>第四章  决算管理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378"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rPr>
        <w:t>　　第二十二条 项目负责人应当按照规定编制项目资金年度决算。项目依托学校应将繁荣计划专项资金收支情况纳入单位年度决算统一编报。</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第二十三条 项目完成后，项目负责人应当会同学校财务部门清理账目，据实编报项目决算，并附财务部门审核确认的项目资金收支明细账，与项目结项材料一并报送教育部。项目负责人和依托学校不得随意调账变动支出、随意修改记账凭证。</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第二十四条 对于研究项目资金,项目在研期间，年度结转资金可以在下一年度继续使用。项目完成目标任务并通过验收后，结余资金可以用于项目最终成果出版及后续研究的直接支出，或由项目依托学校统筹安排用于科研活动的直接支出。若项目审核验收2年后结余资金仍有剩余的，应当按原渠道退回教育部。对于非研究项目资金和管理资金,按照财政部关于结转结余资金管理有关规定执行。</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第二十五条 项目因故终止或被撤销，依托学校应当及时清理账目与资产，编制财务决算及资产清单，审核汇总后报送教育部。已拨资金或其剩余部分按原渠道退回教育部。</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第二十六条 凡使用繁荣计划专项资金形成的固定资产、无形资产等均属国有资产，应当按照国有资产管理的有关规定执行。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378" w:lineRule="atLeast"/>
        <w:ind w:left="0" w:right="0"/>
        <w:jc w:val="center"/>
        <w:rPr>
          <w:rFonts w:hint="eastAsia" w:ascii="宋体" w:hAnsi="宋体" w:eastAsia="宋体" w:cs="宋体"/>
          <w:sz w:val="21"/>
          <w:szCs w:val="21"/>
        </w:rPr>
      </w:pPr>
      <w:r>
        <w:rPr>
          <w:rStyle w:val="5"/>
          <w:rFonts w:hint="eastAsia" w:ascii="宋体" w:hAnsi="宋体" w:eastAsia="宋体" w:cs="宋体"/>
          <w:i w:val="0"/>
          <w:caps w:val="0"/>
          <w:color w:val="000000"/>
          <w:spacing w:val="0"/>
          <w:sz w:val="21"/>
          <w:szCs w:val="21"/>
          <w:bdr w:val="none" w:color="auto" w:sz="0" w:space="0"/>
        </w:rPr>
        <w:t>第五章  监督检查与绩效管理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378"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rPr>
        <w:t>　　第二十七条 项目依托学校应当自觉接受审计、纪检监察等有关部门对繁荣计划建设项目预算执行、资金使用效益和财务管理等情况的监督检查。对于截留、挤占、挪用繁荣计划专项资金的行为，以及因管理不善导致资金浪费、资产毁损的，视情节轻重，分别采取通报批评、停止拨款、撤销项目、追回已拨资金、取消项目承担者一定期限内项目申报资格等处理措施，涉嫌违法的移交司法机关处理。</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第二十八条 项目依托学校应当制定内部管理办法，明确审批程序和管理要求，落实项目预算调剂、间接费用统筹使用、劳务费分配管理、结转结余资金使用等自主权。</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项目依托学校应当完善内部风险防控机制，加强预算审核把关，规范财务支出行为，强化资金使用绩效评价，保障资金使用安全规范有效。</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项目依托学校应当实行内部公开制度，主动公开项目预算、预算调剂、决算、外拨资金、劳务费发放、间接费用、结余资金使用和研究成果等情况。</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项目依托学校和项目负责人应当严格遵守国家财经纪律，依法依规使用项目资金，不得擅自调整外拨资金，不得利用虚假票据套取资金，不得通过编造虚假合同、虚构人员名单等方式虚报冒领劳务费和专家咨询费，不得随意调账变动支出、随意修改记账凭证、以表代账应付财务审计和检查。</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第二十九条 加强繁荣计划专项资金项目绩效管理，建立健全全过程预算绩效管理机制。教育部在开展项目预算评审时，应对项目申请人设定的绩效目标进行审核，并将审核结果作为核定项目预算的重要参考因素。实施绩效目标执行监控，及时纠正绩效目标执行中的偏差，确保绩效目标如期实现。开展绩效评价，将评价结果作为今后资助的重要依据，建立项目资金使用和管理的信用机制、信息公开机制和责任追究机制，提高项目资金使用效益。</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第三十条 违反本办法规定的，依照《中华人民共和国预算法》、《财政违法行为处罚处分条例》等国家有关法律制度规定处理。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378" w:lineRule="atLeast"/>
        <w:ind w:left="0" w:right="0"/>
        <w:jc w:val="center"/>
        <w:rPr>
          <w:rFonts w:hint="eastAsia" w:ascii="宋体" w:hAnsi="宋体" w:eastAsia="宋体" w:cs="宋体"/>
          <w:sz w:val="21"/>
          <w:szCs w:val="21"/>
        </w:rPr>
      </w:pPr>
      <w:r>
        <w:rPr>
          <w:rStyle w:val="5"/>
          <w:rFonts w:hint="eastAsia" w:ascii="宋体" w:hAnsi="宋体" w:eastAsia="宋体" w:cs="宋体"/>
          <w:i w:val="0"/>
          <w:caps w:val="0"/>
          <w:color w:val="000000"/>
          <w:spacing w:val="0"/>
          <w:sz w:val="21"/>
          <w:szCs w:val="21"/>
          <w:bdr w:val="none" w:color="auto" w:sz="0" w:space="0"/>
        </w:rPr>
        <w:t>第六章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378" w:lineRule="atLeast"/>
        <w:ind w:left="0" w:right="0"/>
        <w:jc w:val="left"/>
        <w:rPr>
          <w:rFonts w:hint="eastAsia" w:ascii="宋体" w:hAnsi="宋体" w:eastAsia="宋体" w:cs="宋体"/>
          <w:sz w:val="21"/>
          <w:szCs w:val="21"/>
        </w:rPr>
      </w:pPr>
      <w:r>
        <w:rPr>
          <w:rFonts w:hint="eastAsia" w:ascii="宋体" w:hAnsi="宋体" w:eastAsia="宋体" w:cs="宋体"/>
          <w:b w:val="0"/>
          <w:i w:val="0"/>
          <w:caps w:val="0"/>
          <w:color w:val="000000"/>
          <w:spacing w:val="0"/>
          <w:sz w:val="21"/>
          <w:szCs w:val="21"/>
          <w:bdr w:val="none" w:color="auto" w:sz="0" w:space="0"/>
        </w:rPr>
        <w:t>　　第三十一条 本办法由财政部、教育部负责解释。</w:t>
      </w:r>
      <w:r>
        <w:rPr>
          <w:rFonts w:hint="eastAsia" w:ascii="宋体" w:hAnsi="宋体" w:eastAsia="宋体" w:cs="宋体"/>
          <w:b w:val="0"/>
          <w:i w:val="0"/>
          <w:caps w:val="0"/>
          <w:color w:val="000000"/>
          <w:spacing w:val="0"/>
          <w:sz w:val="21"/>
          <w:szCs w:val="21"/>
          <w:bdr w:val="none" w:color="auto" w:sz="0" w:space="0"/>
        </w:rPr>
        <w:br w:type="textWrapping"/>
      </w:r>
      <w:r>
        <w:rPr>
          <w:rFonts w:hint="eastAsia" w:ascii="宋体" w:hAnsi="宋体" w:eastAsia="宋体" w:cs="宋体"/>
          <w:b w:val="0"/>
          <w:i w:val="0"/>
          <w:caps w:val="0"/>
          <w:color w:val="000000"/>
          <w:spacing w:val="0"/>
          <w:sz w:val="21"/>
          <w:szCs w:val="21"/>
          <w:bdr w:val="none" w:color="auto" w:sz="0" w:space="0"/>
        </w:rPr>
        <w:t>　　第三十二条 本办法自2016年12月1日起施行。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E35D85"/>
    <w:rsid w:val="07E35D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2018-01-23T04:43:00Z</dcterms:created>
  <dc:creator>yim 零</dc:creator>
  <cp:lastModifiedBy>yim 零</cp:lastModifiedBy>
  <dcterms:modified xsi:type="dcterms:W3CDTF">2018-01-23T04:44:13Z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