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0"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sz w:val="28"/>
          <w:szCs w:val="28"/>
          <w:shd w:val="clear" w:color="auto" w:fill="auto"/>
          <w:lang w:val="en-US" w:eastAsia="zh-CN"/>
        </w:rPr>
      </w:pPr>
      <w:r>
        <w:rPr>
          <w:rFonts w:hint="eastAsia" w:asciiTheme="minorEastAsia" w:hAnsiTheme="minorEastAsia" w:eastAsiaTheme="minorEastAsia" w:cstheme="minorEastAsia"/>
          <w:b/>
          <w:sz w:val="28"/>
          <w:szCs w:val="28"/>
          <w:shd w:val="clear" w:color="auto" w:fill="auto"/>
          <w:lang w:val="en-US" w:eastAsia="zh-CN"/>
        </w:rPr>
        <w:t>·</w:t>
      </w:r>
      <w:r>
        <w:rPr>
          <w:rFonts w:hint="eastAsia" w:eastAsia="黑体" w:cs="Times New Roman"/>
          <w:b/>
          <w:sz w:val="28"/>
          <w:szCs w:val="28"/>
          <w:shd w:val="clear" w:color="auto" w:fill="auto"/>
          <w:lang w:val="en-US" w:eastAsia="zh-CN"/>
        </w:rPr>
        <w:t>导师文苑</w:t>
      </w:r>
      <w:r>
        <w:rPr>
          <w:rFonts w:hint="eastAsia" w:asciiTheme="minorEastAsia" w:hAnsiTheme="minorEastAsia" w:eastAsiaTheme="minorEastAsia" w:cstheme="minorEastAsia"/>
          <w:b/>
          <w:sz w:val="28"/>
          <w:szCs w:val="28"/>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波兰宪法审查制度的变迁——对波兰《宪法裁判所法》的文本分析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楷体" w:hAnsi="楷体" w:eastAsia="楷体" w:cs="楷体"/>
          <w:b w:val="0"/>
          <w:bCs w:val="0"/>
          <w:sz w:val="24"/>
          <w:szCs w:val="24"/>
          <w:lang w:val="en-US" w:eastAsia="zh-CN"/>
        </w:rPr>
      </w:pPr>
      <w:r>
        <w:rPr>
          <w:rFonts w:hint="eastAsia" w:asciiTheme="minorEastAsia" w:hAnsiTheme="minorEastAsia" w:eastAsiaTheme="minorEastAsia" w:cstheme="minorEastAsia"/>
          <w:b/>
          <w:sz w:val="24"/>
          <w:szCs w:val="24"/>
          <w:lang w:val="en-US" w:eastAsia="zh-CN"/>
        </w:rPr>
        <w:t>···························································</w:t>
      </w:r>
      <w:r>
        <w:rPr>
          <w:rFonts w:hint="eastAsia" w:ascii="楷体" w:hAnsi="楷体" w:eastAsia="楷体" w:cs="楷体"/>
          <w:b w:val="0"/>
          <w:bCs w:val="0"/>
          <w:sz w:val="24"/>
          <w:szCs w:val="24"/>
          <w:lang w:val="en-US" w:eastAsia="zh-CN"/>
        </w:rPr>
        <w:t>王卫明（1）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sz w:val="24"/>
          <w:szCs w:val="24"/>
          <w:shd w:val="clear" w:color="auto" w:fill="auto"/>
          <w:lang w:val="en-US" w:eastAsia="zh-CN"/>
        </w:rPr>
      </w:pPr>
      <w:r>
        <w:rPr>
          <w:rFonts w:hint="eastAsia" w:asciiTheme="minorEastAsia" w:hAnsiTheme="minorEastAsia" w:eastAsiaTheme="minorEastAsia" w:cstheme="minorEastAsia"/>
          <w:b w:val="0"/>
          <w:bCs/>
          <w:sz w:val="24"/>
          <w:szCs w:val="24"/>
          <w:shd w:val="clear" w:color="auto" w:fill="auto"/>
          <w:lang w:val="en-US" w:eastAsia="zh-CN"/>
        </w:rPr>
        <w:t>比较视野中的中日侦查模式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楷体" w:hAnsi="楷体" w:eastAsia="楷体" w:cs="楷体"/>
          <w:b w:val="0"/>
          <w:bCs w:val="0"/>
          <w:sz w:val="24"/>
          <w:szCs w:val="24"/>
          <w:lang w:val="en-US" w:eastAsia="zh-CN"/>
        </w:rPr>
      </w:pPr>
      <w:r>
        <w:rPr>
          <w:rFonts w:hint="eastAsia" w:asciiTheme="minorEastAsia" w:hAnsiTheme="minorEastAsia" w:eastAsiaTheme="minorEastAsia" w:cstheme="minorEastAsia"/>
          <w:b/>
          <w:sz w:val="24"/>
          <w:szCs w:val="24"/>
          <w:lang w:val="en-US" w:eastAsia="zh-CN"/>
        </w:rPr>
        <w:t>························································</w:t>
      </w:r>
      <w:r>
        <w:rPr>
          <w:rFonts w:hint="eastAsia" w:asciiTheme="minorEastAsia" w:hAnsiTheme="minorEastAsia" w:eastAsiaTheme="minorEastAsia" w:cstheme="minorEastAsia"/>
          <w:b/>
          <w:sz w:val="24"/>
          <w:szCs w:val="24"/>
          <w:highlight w:val="none"/>
          <w:lang w:val="en-US" w:eastAsia="zh-CN"/>
        </w:rPr>
        <w:t>···</w:t>
      </w:r>
      <w:r>
        <w:rPr>
          <w:rFonts w:hint="eastAsia" w:ascii="楷体" w:hAnsi="楷体" w:eastAsia="楷体" w:cs="楷体"/>
          <w:b w:val="0"/>
          <w:bCs w:val="0"/>
          <w:sz w:val="24"/>
          <w:szCs w:val="24"/>
          <w:highlight w:val="none"/>
          <w:lang w:val="en-US" w:eastAsia="zh-CN"/>
        </w:rPr>
        <w:t>孙青平（7）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sz w:val="28"/>
          <w:szCs w:val="28"/>
          <w:shd w:val="clear" w:color="auto" w:fill="auto"/>
        </w:rPr>
      </w:pPr>
      <w:r>
        <w:rPr>
          <w:rFonts w:hint="eastAsia" w:asciiTheme="minorEastAsia" w:hAnsiTheme="minorEastAsia" w:eastAsiaTheme="minorEastAsia" w:cstheme="minorEastAsia"/>
          <w:b/>
          <w:sz w:val="28"/>
          <w:szCs w:val="28"/>
          <w:shd w:val="clear" w:color="auto" w:fill="auto"/>
          <w:lang w:val="en-US" w:eastAsia="zh-CN"/>
        </w:rPr>
        <w:t>·</w:t>
      </w:r>
      <w:r>
        <w:rPr>
          <w:rFonts w:hint="default" w:ascii="Times New Roman" w:hAnsi="Times New Roman" w:eastAsia="黑体" w:cs="Times New Roman"/>
          <w:b/>
          <w:sz w:val="28"/>
          <w:szCs w:val="28"/>
          <w:shd w:val="clear" w:color="auto" w:fill="auto"/>
        </w:rPr>
        <w:t>理论法学</w:t>
      </w:r>
      <w:r>
        <w:rPr>
          <w:rFonts w:hint="eastAsia" w:asciiTheme="minorEastAsia" w:hAnsiTheme="minorEastAsia" w:eastAsiaTheme="minorEastAsia" w:cstheme="minorEastAsia"/>
          <w:b/>
          <w:sz w:val="28"/>
          <w:szCs w:val="28"/>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宋体" w:cs="Times New Roman"/>
          <w:b w:val="0"/>
          <w:bCs w:val="0"/>
          <w:sz w:val="24"/>
          <w:szCs w:val="24"/>
          <w:lang w:eastAsia="zh-CN"/>
        </w:rPr>
      </w:pPr>
      <w:r>
        <w:rPr>
          <w:rFonts w:hint="eastAsia" w:ascii="Times New Roman" w:hAnsi="Times New Roman" w:eastAsia="宋体" w:cs="Times New Roman"/>
          <w:b w:val="0"/>
          <w:bCs w:val="0"/>
          <w:sz w:val="24"/>
          <w:szCs w:val="24"/>
          <w:lang w:eastAsia="zh-CN"/>
        </w:rPr>
        <w:t>行政行为说明理由的规范探析与展望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楷体" w:cs="Times New Roman"/>
          <w:b w:val="0"/>
          <w:bCs w:val="0"/>
          <w:sz w:val="24"/>
          <w:szCs w:val="24"/>
          <w:lang w:val="en-US" w:eastAsia="zh-CN"/>
        </w:rPr>
      </w:pPr>
      <w:r>
        <w:rPr>
          <w:rFonts w:hint="eastAsia" w:asciiTheme="minorEastAsia" w:hAnsiTheme="minorEastAsia" w:eastAsiaTheme="minorEastAsia" w:cstheme="minorEastAsia"/>
          <w:b/>
          <w:sz w:val="24"/>
          <w:szCs w:val="24"/>
          <w:lang w:val="en-US" w:eastAsia="zh-CN"/>
        </w:rPr>
        <w:t>···························································</w:t>
      </w:r>
      <w:r>
        <w:rPr>
          <w:rFonts w:hint="eastAsia" w:ascii="楷体" w:hAnsi="楷体" w:eastAsia="楷体" w:cs="楷体"/>
          <w:b w:val="0"/>
          <w:bCs w:val="0"/>
          <w:sz w:val="24"/>
          <w:szCs w:val="24"/>
          <w:lang w:val="en-US" w:eastAsia="zh-CN"/>
        </w:rPr>
        <w:t>潘春青</w:t>
      </w:r>
      <w:r>
        <w:rPr>
          <w:rFonts w:hint="default" w:ascii="Times New Roman" w:hAnsi="Times New Roman" w:eastAsia="楷体" w:cs="Times New Roman"/>
          <w:b w:val="0"/>
          <w:bCs w:val="0"/>
          <w:sz w:val="24"/>
          <w:szCs w:val="24"/>
          <w:lang w:val="en-US" w:eastAsia="zh-CN"/>
        </w:rPr>
        <w:t>(</w:t>
      </w:r>
      <w:r>
        <w:rPr>
          <w:rFonts w:hint="eastAsia" w:eastAsia="楷体" w:cs="Times New Roman"/>
          <w:b w:val="0"/>
          <w:bCs w:val="0"/>
          <w:sz w:val="24"/>
          <w:szCs w:val="24"/>
          <w:lang w:val="en-US" w:eastAsia="zh-CN"/>
        </w:rPr>
        <w:t>13</w:t>
      </w:r>
      <w:r>
        <w:rPr>
          <w:rFonts w:hint="default" w:ascii="Times New Roman" w:hAnsi="Times New Roman" w:eastAsia="楷体" w:cs="Times New Roman"/>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宋体" w:cs="Times New Roman"/>
          <w:b w:val="0"/>
          <w:bCs w:val="0"/>
          <w:sz w:val="24"/>
          <w:szCs w:val="24"/>
          <w:lang w:eastAsia="zh-CN"/>
        </w:rPr>
      </w:pPr>
      <w:r>
        <w:rPr>
          <w:rFonts w:hint="eastAsia" w:ascii="Times New Roman" w:hAnsi="Times New Roman" w:eastAsia="宋体" w:cs="Times New Roman"/>
          <w:b w:val="0"/>
          <w:bCs w:val="0"/>
          <w:sz w:val="24"/>
          <w:szCs w:val="24"/>
          <w:lang w:eastAsia="zh-CN"/>
        </w:rPr>
        <w:t>论刑事诉讼法的法律价值之演进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楷体" w:cs="Times New Roman"/>
          <w:b w:val="0"/>
          <w:bCs w:val="0"/>
          <w:sz w:val="24"/>
          <w:szCs w:val="24"/>
          <w:lang w:val="en-US" w:eastAsia="zh-CN"/>
        </w:rPr>
      </w:pPr>
      <w:r>
        <w:rPr>
          <w:rFonts w:hint="eastAsia" w:asciiTheme="minorEastAsia" w:hAnsiTheme="minorEastAsia" w:eastAsiaTheme="minorEastAsia" w:cstheme="minorEastAsia"/>
          <w:b/>
          <w:sz w:val="24"/>
          <w:szCs w:val="24"/>
          <w:lang w:val="en-US" w:eastAsia="zh-CN"/>
        </w:rPr>
        <w:t>···························································</w:t>
      </w:r>
      <w:r>
        <w:rPr>
          <w:rFonts w:hint="eastAsia" w:eastAsia="楷体" w:cs="Times New Roman"/>
          <w:b w:val="0"/>
          <w:bCs w:val="0"/>
          <w:sz w:val="24"/>
          <w:szCs w:val="24"/>
          <w:lang w:val="en-US" w:eastAsia="zh-CN"/>
        </w:rPr>
        <w:t>李明哲</w:t>
      </w:r>
      <w:r>
        <w:rPr>
          <w:rFonts w:hint="default" w:ascii="Times New Roman" w:hAnsi="Times New Roman" w:eastAsia="楷体" w:cs="Times New Roman"/>
          <w:b w:val="0"/>
          <w:bCs w:val="0"/>
          <w:sz w:val="24"/>
          <w:szCs w:val="24"/>
          <w:lang w:val="en-US" w:eastAsia="zh-CN"/>
        </w:rPr>
        <w:t>(</w:t>
      </w:r>
      <w:r>
        <w:rPr>
          <w:rFonts w:hint="eastAsia" w:eastAsia="楷体" w:cs="Times New Roman"/>
          <w:b w:val="0"/>
          <w:bCs w:val="0"/>
          <w:sz w:val="24"/>
          <w:szCs w:val="24"/>
          <w:lang w:val="en-US" w:eastAsia="zh-CN"/>
        </w:rPr>
        <w:t>22</w:t>
      </w:r>
      <w:r>
        <w:rPr>
          <w:rFonts w:hint="default" w:ascii="Times New Roman" w:hAnsi="Times New Roman" w:eastAsia="楷体" w:cs="Times New Roman"/>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宋体" w:cs="Times New Roman"/>
          <w:b w:val="0"/>
          <w:bCs w:val="0"/>
          <w:sz w:val="24"/>
          <w:szCs w:val="24"/>
        </w:rPr>
      </w:pPr>
      <w:r>
        <w:rPr>
          <w:rFonts w:hint="eastAsia" w:ascii="Times New Roman" w:hAnsi="Times New Roman" w:eastAsia="宋体" w:cs="Times New Roman"/>
          <w:b w:val="0"/>
          <w:bCs w:val="0"/>
          <w:sz w:val="24"/>
          <w:szCs w:val="24"/>
          <w:lang w:eastAsia="zh-CN"/>
        </w:rPr>
        <w:t>大数据时代下个人信息权的法律保护研究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楷体" w:cs="Times New Roman"/>
          <w:b w:val="0"/>
          <w:bCs w:val="0"/>
          <w:sz w:val="24"/>
          <w:szCs w:val="24"/>
          <w:lang w:val="en-US" w:eastAsia="zh-CN"/>
        </w:rPr>
      </w:pPr>
      <w:r>
        <w:rPr>
          <w:rFonts w:hint="eastAsia" w:asciiTheme="minorEastAsia" w:hAnsiTheme="minorEastAsia" w:eastAsiaTheme="minorEastAsia" w:cstheme="minorEastAsia"/>
          <w:b/>
          <w:sz w:val="24"/>
          <w:szCs w:val="24"/>
          <w:lang w:val="en-US" w:eastAsia="zh-CN"/>
        </w:rPr>
        <w:t>···························································</w:t>
      </w:r>
      <w:r>
        <w:rPr>
          <w:rFonts w:hint="eastAsia" w:eastAsia="楷体" w:cs="Times New Roman"/>
          <w:b w:val="0"/>
          <w:bCs w:val="0"/>
          <w:sz w:val="24"/>
          <w:szCs w:val="24"/>
          <w:lang w:eastAsia="zh-CN"/>
        </w:rPr>
        <w:t>朱</w:t>
      </w:r>
      <w:r>
        <w:rPr>
          <w:rFonts w:hint="eastAsia" w:eastAsia="楷体" w:cs="Times New Roman"/>
          <w:b w:val="0"/>
          <w:bCs w:val="0"/>
          <w:sz w:val="24"/>
          <w:szCs w:val="24"/>
          <w:lang w:val="en-US" w:eastAsia="zh-CN"/>
        </w:rPr>
        <w:t xml:space="preserve"> </w:t>
      </w:r>
      <w:r>
        <w:rPr>
          <w:rFonts w:hint="eastAsia" w:eastAsia="楷体" w:cs="Times New Roman"/>
          <w:b w:val="0"/>
          <w:bCs w:val="0"/>
          <w:sz w:val="24"/>
          <w:szCs w:val="24"/>
          <w:lang w:eastAsia="zh-CN"/>
        </w:rPr>
        <w:t>垒</w:t>
      </w:r>
      <w:r>
        <w:rPr>
          <w:rFonts w:hint="eastAsia" w:eastAsia="楷体" w:cs="Times New Roman"/>
          <w:b w:val="0"/>
          <w:bCs w:val="0"/>
          <w:sz w:val="24"/>
          <w:szCs w:val="24"/>
          <w:lang w:val="en-US" w:eastAsia="zh-CN"/>
        </w:rPr>
        <w:t>(27)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sz w:val="28"/>
          <w:szCs w:val="28"/>
          <w:shd w:val="clear" w:color="auto" w:fill="auto"/>
        </w:rPr>
      </w:pPr>
      <w:r>
        <w:rPr>
          <w:rFonts w:hint="eastAsia" w:asciiTheme="minorEastAsia" w:hAnsiTheme="minorEastAsia" w:eastAsiaTheme="minorEastAsia" w:cstheme="minorEastAsia"/>
          <w:b/>
          <w:bCs/>
          <w:sz w:val="28"/>
          <w:szCs w:val="28"/>
          <w:shd w:val="clear" w:color="auto" w:fill="auto"/>
          <w:lang w:val="en-US" w:eastAsia="zh-CN"/>
        </w:rPr>
        <w:t>·</w:t>
      </w:r>
      <w:r>
        <w:rPr>
          <w:rFonts w:hint="default" w:ascii="Times New Roman" w:hAnsi="Times New Roman" w:eastAsia="黑体" w:cs="Times New Roman"/>
          <w:b/>
          <w:bCs/>
          <w:sz w:val="28"/>
          <w:szCs w:val="28"/>
          <w:shd w:val="clear" w:color="auto" w:fill="auto"/>
        </w:rPr>
        <w:t>部门法学</w:t>
      </w:r>
      <w:r>
        <w:rPr>
          <w:rFonts w:hint="eastAsia" w:asciiTheme="minorEastAsia" w:hAnsiTheme="minorEastAsia" w:eastAsiaTheme="minorEastAsia" w:cstheme="minorEastAsia"/>
          <w:b/>
          <w:bCs/>
          <w:sz w:val="28"/>
          <w:szCs w:val="28"/>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宋体" w:cs="Times New Roman"/>
          <w:b w:val="0"/>
          <w:bCs w:val="0"/>
          <w:sz w:val="24"/>
          <w:szCs w:val="24"/>
          <w:lang w:eastAsia="zh-CN"/>
        </w:rPr>
      </w:pPr>
      <w:r>
        <w:rPr>
          <w:rFonts w:hint="eastAsia" w:ascii="Times New Roman" w:hAnsi="Times New Roman" w:eastAsia="宋体" w:cs="Times New Roman"/>
          <w:b w:val="0"/>
          <w:bCs w:val="0"/>
          <w:sz w:val="24"/>
          <w:szCs w:val="24"/>
          <w:lang w:eastAsia="zh-CN"/>
        </w:rPr>
        <w:t>网络舆论恶性现象的行政法干预探析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eastAsia="楷体" w:cs="Times New Roman"/>
          <w:b w:val="0"/>
          <w:bCs w:val="0"/>
          <w:sz w:val="24"/>
          <w:szCs w:val="24"/>
          <w:lang w:val="en-US" w:eastAsia="zh-CN"/>
        </w:rPr>
      </w:pPr>
      <w:r>
        <w:rPr>
          <w:rFonts w:hint="eastAsia" w:asciiTheme="minorEastAsia" w:hAnsiTheme="minorEastAsia" w:eastAsiaTheme="minorEastAsia" w:cstheme="minorEastAsia"/>
          <w:b/>
          <w:sz w:val="24"/>
          <w:szCs w:val="24"/>
          <w:lang w:val="en-US" w:eastAsia="zh-CN"/>
        </w:rPr>
        <w:t>··························································</w:t>
      </w:r>
      <w:r>
        <w:rPr>
          <w:rFonts w:hint="eastAsia" w:eastAsia="楷体" w:cs="Times New Roman"/>
          <w:b w:val="0"/>
          <w:bCs w:val="0"/>
          <w:sz w:val="24"/>
          <w:szCs w:val="24"/>
          <w:lang w:eastAsia="zh-CN"/>
        </w:rPr>
        <w:t>吴明熠</w:t>
      </w:r>
      <w:r>
        <w:rPr>
          <w:rFonts w:hint="default" w:eastAsia="楷体" w:cs="Times New Roman"/>
          <w:b w:val="0"/>
          <w:bCs w:val="0"/>
          <w:sz w:val="24"/>
          <w:szCs w:val="24"/>
          <w:lang w:val="en-US" w:eastAsia="zh-CN"/>
        </w:rPr>
        <w:t>(</w:t>
      </w:r>
      <w:r>
        <w:rPr>
          <w:rFonts w:hint="eastAsia" w:eastAsia="楷体" w:cs="Times New Roman"/>
          <w:b w:val="0"/>
          <w:bCs w:val="0"/>
          <w:sz w:val="24"/>
          <w:szCs w:val="24"/>
          <w:lang w:val="en-US" w:eastAsia="zh-CN"/>
        </w:rPr>
        <w:t>39</w:t>
      </w:r>
      <w:r>
        <w:rPr>
          <w:rFonts w:hint="default" w:eastAsia="楷体" w:cs="Times New Roman"/>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论环境信息的公开——以新环境保护法的实施为标准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楷体" w:cs="Times New Roman"/>
          <w:b w:val="0"/>
          <w:bCs w:val="0"/>
          <w:sz w:val="24"/>
          <w:szCs w:val="24"/>
          <w:lang w:val="en-US" w:eastAsia="zh-CN"/>
        </w:rPr>
      </w:pPr>
      <w:r>
        <w:rPr>
          <w:rFonts w:hint="eastAsia" w:asciiTheme="minorEastAsia" w:hAnsiTheme="minorEastAsia" w:eastAsiaTheme="minorEastAsia" w:cstheme="minorEastAsia"/>
          <w:b/>
          <w:sz w:val="24"/>
          <w:szCs w:val="24"/>
          <w:lang w:val="en-US" w:eastAsia="zh-CN"/>
        </w:rPr>
        <w:t>··························································</w:t>
      </w:r>
      <w:r>
        <w:rPr>
          <w:rFonts w:hint="eastAsia" w:eastAsia="楷体" w:cs="Times New Roman"/>
          <w:b w:val="0"/>
          <w:bCs w:val="0"/>
          <w:sz w:val="24"/>
          <w:szCs w:val="24"/>
          <w:lang w:val="en-US" w:eastAsia="zh-CN"/>
        </w:rPr>
        <w:t>刘季平</w:t>
      </w:r>
      <w:r>
        <w:rPr>
          <w:rFonts w:hint="default" w:ascii="Times New Roman" w:hAnsi="Times New Roman" w:eastAsia="楷体" w:cs="Times New Roman"/>
          <w:b w:val="0"/>
          <w:bCs w:val="0"/>
          <w:sz w:val="24"/>
          <w:szCs w:val="24"/>
          <w:lang w:val="en-US" w:eastAsia="zh-CN"/>
        </w:rPr>
        <w:t>(</w:t>
      </w:r>
      <w:r>
        <w:rPr>
          <w:rFonts w:hint="eastAsia" w:eastAsia="楷体" w:cs="Times New Roman"/>
          <w:b w:val="0"/>
          <w:bCs w:val="0"/>
          <w:sz w:val="24"/>
          <w:szCs w:val="24"/>
          <w:lang w:val="en-US" w:eastAsia="zh-CN"/>
        </w:rPr>
        <w:t>51</w:t>
      </w:r>
      <w:r>
        <w:rPr>
          <w:rFonts w:hint="default" w:ascii="Times New Roman" w:hAnsi="Times New Roman" w:eastAsia="楷体" w:cs="Times New Roman"/>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从“伊斯兰国”看国际恐怖主义的新动向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楷体" w:cs="Times New Roman"/>
          <w:b w:val="0"/>
          <w:bCs w:val="0"/>
          <w:sz w:val="24"/>
          <w:szCs w:val="24"/>
          <w:lang w:val="en-US" w:eastAsia="zh-CN"/>
        </w:rPr>
      </w:pPr>
      <w:r>
        <w:rPr>
          <w:rFonts w:hint="eastAsia" w:asciiTheme="minorEastAsia" w:hAnsiTheme="minorEastAsia" w:eastAsiaTheme="minorEastAsia" w:cstheme="minorEastAsia"/>
          <w:b/>
          <w:sz w:val="24"/>
          <w:szCs w:val="24"/>
          <w:lang w:val="en-US" w:eastAsia="zh-CN"/>
        </w:rPr>
        <w:t>··························································</w:t>
      </w:r>
      <w:r>
        <w:rPr>
          <w:rFonts w:hint="eastAsia" w:eastAsia="楷体" w:cs="Times New Roman"/>
          <w:b w:val="0"/>
          <w:bCs w:val="0"/>
          <w:sz w:val="24"/>
          <w:szCs w:val="24"/>
          <w:lang w:val="en-US" w:eastAsia="zh-CN"/>
        </w:rPr>
        <w:t>郝晓昱</w:t>
      </w:r>
      <w:r>
        <w:rPr>
          <w:rFonts w:hint="default" w:ascii="Times New Roman" w:hAnsi="Times New Roman" w:eastAsia="楷体" w:cs="Times New Roman"/>
          <w:b w:val="0"/>
          <w:bCs w:val="0"/>
          <w:sz w:val="24"/>
          <w:szCs w:val="24"/>
          <w:lang w:val="en-US" w:eastAsia="zh-CN"/>
        </w:rPr>
        <w:t>(</w:t>
      </w:r>
      <w:r>
        <w:rPr>
          <w:rFonts w:hint="eastAsia" w:eastAsia="楷体" w:cs="Times New Roman"/>
          <w:b w:val="0"/>
          <w:bCs w:val="0"/>
          <w:sz w:val="24"/>
          <w:szCs w:val="24"/>
          <w:lang w:val="en-US" w:eastAsia="zh-CN"/>
        </w:rPr>
        <w:t>59</w:t>
      </w:r>
      <w:r>
        <w:rPr>
          <w:rFonts w:hint="default" w:ascii="Times New Roman" w:hAnsi="Times New Roman" w:eastAsia="楷体" w:cs="Times New Roman"/>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ATM故障中银行与客户法律关系研究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楷体" w:cs="Times New Roman"/>
          <w:b w:val="0"/>
          <w:bCs w:val="0"/>
          <w:sz w:val="24"/>
          <w:szCs w:val="24"/>
          <w:lang w:val="en-US" w:eastAsia="zh-CN"/>
        </w:rPr>
      </w:pPr>
      <w:r>
        <w:rPr>
          <w:rFonts w:hint="eastAsia" w:asciiTheme="minorEastAsia" w:hAnsiTheme="minorEastAsia" w:eastAsiaTheme="minorEastAsia" w:cstheme="minorEastAsia"/>
          <w:b/>
          <w:sz w:val="24"/>
          <w:szCs w:val="24"/>
          <w:lang w:val="en-US" w:eastAsia="zh-CN"/>
        </w:rPr>
        <w:t>··························································</w:t>
      </w:r>
      <w:r>
        <w:rPr>
          <w:rFonts w:hint="eastAsia" w:eastAsia="楷体" w:cs="Times New Roman"/>
          <w:b w:val="0"/>
          <w:bCs w:val="0"/>
          <w:sz w:val="24"/>
          <w:szCs w:val="24"/>
          <w:lang w:val="en-US" w:eastAsia="zh-CN"/>
        </w:rPr>
        <w:t>朱海玲</w:t>
      </w:r>
      <w:r>
        <w:rPr>
          <w:rFonts w:hint="default" w:ascii="Times New Roman" w:hAnsi="Times New Roman" w:eastAsia="楷体" w:cs="Times New Roman"/>
          <w:b w:val="0"/>
          <w:bCs w:val="0"/>
          <w:sz w:val="24"/>
          <w:szCs w:val="24"/>
          <w:lang w:val="en-US" w:eastAsia="zh-CN"/>
        </w:rPr>
        <w:t>(</w:t>
      </w:r>
      <w:r>
        <w:rPr>
          <w:rFonts w:hint="eastAsia" w:eastAsia="楷体" w:cs="Times New Roman"/>
          <w:b w:val="0"/>
          <w:bCs w:val="0"/>
          <w:sz w:val="24"/>
          <w:szCs w:val="24"/>
          <w:lang w:val="en-US" w:eastAsia="zh-CN"/>
        </w:rPr>
        <w:t>70</w:t>
      </w:r>
      <w:r>
        <w:rPr>
          <w:rFonts w:hint="default" w:ascii="Times New Roman" w:hAnsi="Times New Roman" w:eastAsia="楷体" w:cs="Times New Roman"/>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中介说视角下人类冷冻胚胎法律属性及行使规则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楷体" w:cs="Times New Roman"/>
          <w:b w:val="0"/>
          <w:bCs w:val="0"/>
          <w:sz w:val="24"/>
          <w:szCs w:val="24"/>
          <w:lang w:val="en-US" w:eastAsia="zh-CN"/>
        </w:rPr>
      </w:pPr>
      <w:r>
        <w:rPr>
          <w:rFonts w:hint="eastAsia" w:asciiTheme="minorEastAsia" w:hAnsiTheme="minorEastAsia" w:eastAsiaTheme="minorEastAsia" w:cstheme="minorEastAsia"/>
          <w:b/>
          <w:sz w:val="24"/>
          <w:szCs w:val="24"/>
          <w:lang w:val="en-US" w:eastAsia="zh-CN"/>
        </w:rPr>
        <w:t>··························································</w:t>
      </w:r>
      <w:r>
        <w:rPr>
          <w:rFonts w:hint="eastAsia" w:eastAsia="楷体" w:cs="Times New Roman"/>
          <w:b w:val="0"/>
          <w:bCs w:val="0"/>
          <w:sz w:val="24"/>
          <w:szCs w:val="24"/>
          <w:lang w:val="en-US" w:eastAsia="zh-CN"/>
        </w:rPr>
        <w:t>薛条英</w:t>
      </w:r>
      <w:r>
        <w:rPr>
          <w:rFonts w:hint="default" w:ascii="Times New Roman" w:hAnsi="Times New Roman" w:eastAsia="楷体" w:cs="Times New Roman"/>
          <w:b w:val="0"/>
          <w:bCs w:val="0"/>
          <w:sz w:val="24"/>
          <w:szCs w:val="24"/>
          <w:lang w:val="en-US" w:eastAsia="zh-CN"/>
        </w:rPr>
        <w:t>(</w:t>
      </w:r>
      <w:r>
        <w:rPr>
          <w:rFonts w:hint="eastAsia" w:eastAsia="楷体" w:cs="Times New Roman"/>
          <w:b w:val="0"/>
          <w:bCs w:val="0"/>
          <w:sz w:val="24"/>
          <w:szCs w:val="24"/>
          <w:lang w:val="en-US" w:eastAsia="zh-CN"/>
        </w:rPr>
        <w:t>81</w:t>
      </w:r>
      <w:r>
        <w:rPr>
          <w:rFonts w:hint="default" w:ascii="Times New Roman" w:hAnsi="Times New Roman" w:eastAsia="楷体" w:cs="Times New Roman"/>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bCs/>
          <w:sz w:val="28"/>
          <w:szCs w:val="28"/>
          <w:shd w:val="clear" w:color="auto" w:fill="auto"/>
        </w:rPr>
      </w:pPr>
      <w:r>
        <w:rPr>
          <w:rFonts w:hint="eastAsia" w:asciiTheme="minorEastAsia" w:hAnsiTheme="minorEastAsia" w:eastAsiaTheme="minorEastAsia" w:cstheme="minorEastAsia"/>
          <w:b/>
          <w:bCs/>
          <w:sz w:val="28"/>
          <w:szCs w:val="28"/>
          <w:shd w:val="clear" w:color="auto" w:fill="auto"/>
          <w:lang w:val="en-US" w:eastAsia="zh-CN"/>
        </w:rPr>
        <w:t>·</w:t>
      </w:r>
      <w:r>
        <w:rPr>
          <w:rFonts w:hint="default" w:ascii="Times New Roman" w:hAnsi="Times New Roman" w:eastAsia="黑体" w:cs="Times New Roman"/>
          <w:b/>
          <w:bCs/>
          <w:sz w:val="28"/>
          <w:szCs w:val="28"/>
          <w:shd w:val="clear" w:color="auto" w:fill="auto"/>
        </w:rPr>
        <w:t>法学随笔</w:t>
      </w:r>
      <w:r>
        <w:rPr>
          <w:rFonts w:hint="eastAsia" w:asciiTheme="minorEastAsia" w:hAnsiTheme="minorEastAsia" w:eastAsiaTheme="minorEastAsia" w:cstheme="minorEastAsia"/>
          <w:b/>
          <w:bCs/>
          <w:sz w:val="28"/>
          <w:szCs w:val="28"/>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试论行政程序法的立法目的、模式及价值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楷体" w:cs="Times New Roman"/>
          <w:b w:val="0"/>
          <w:bCs w:val="0"/>
          <w:sz w:val="24"/>
          <w:szCs w:val="24"/>
          <w:lang w:val="en-US" w:eastAsia="zh-CN"/>
        </w:rPr>
      </w:pPr>
      <w:r>
        <w:rPr>
          <w:rFonts w:hint="eastAsia" w:asciiTheme="minorEastAsia" w:hAnsiTheme="minorEastAsia" w:eastAsiaTheme="minorEastAsia" w:cstheme="minorEastAsia"/>
          <w:b/>
          <w:sz w:val="24"/>
          <w:szCs w:val="24"/>
          <w:lang w:val="en-US" w:eastAsia="zh-CN"/>
        </w:rPr>
        <w:t>···························································</w:t>
      </w:r>
      <w:r>
        <w:rPr>
          <w:rFonts w:hint="eastAsia" w:eastAsia="楷体" w:cs="Times New Roman"/>
          <w:b w:val="0"/>
          <w:bCs w:val="0"/>
          <w:sz w:val="24"/>
          <w:szCs w:val="24"/>
          <w:lang w:eastAsia="zh-CN"/>
        </w:rPr>
        <w:t>张旭霞</w:t>
      </w:r>
      <w:r>
        <w:rPr>
          <w:rFonts w:hint="default" w:ascii="Times New Roman" w:hAnsi="Times New Roman" w:eastAsia="楷体" w:cs="Times New Roman"/>
          <w:b w:val="0"/>
          <w:bCs w:val="0"/>
          <w:sz w:val="24"/>
          <w:szCs w:val="24"/>
          <w:lang w:val="en-US" w:eastAsia="zh-CN"/>
        </w:rPr>
        <w:t>(</w:t>
      </w:r>
      <w:r>
        <w:rPr>
          <w:rFonts w:hint="eastAsia" w:eastAsia="楷体" w:cs="Times New Roman"/>
          <w:b w:val="0"/>
          <w:bCs w:val="0"/>
          <w:sz w:val="24"/>
          <w:szCs w:val="24"/>
          <w:lang w:val="en-US" w:eastAsia="zh-CN"/>
        </w:rPr>
        <w:t>88</w:t>
      </w:r>
      <w:r>
        <w:rPr>
          <w:rFonts w:hint="default" w:ascii="Times New Roman" w:hAnsi="Times New Roman" w:eastAsia="楷体" w:cs="Times New Roman"/>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误存亡夫账户案请求权基础分析报告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楷体" w:cs="Times New Roman"/>
          <w:b w:val="0"/>
          <w:bCs w:val="0"/>
          <w:sz w:val="24"/>
          <w:szCs w:val="24"/>
          <w:lang w:val="en-US" w:eastAsia="zh-CN"/>
        </w:rPr>
      </w:pPr>
      <w:r>
        <w:rPr>
          <w:rFonts w:hint="eastAsia" w:asciiTheme="minorEastAsia" w:hAnsiTheme="minorEastAsia" w:eastAsiaTheme="minorEastAsia" w:cstheme="minorEastAsia"/>
          <w:b/>
          <w:sz w:val="24"/>
          <w:szCs w:val="24"/>
          <w:lang w:val="en-US" w:eastAsia="zh-CN"/>
        </w:rPr>
        <w:t>···························································</w:t>
      </w:r>
      <w:r>
        <w:rPr>
          <w:rFonts w:hint="eastAsia" w:eastAsia="楷体" w:cs="Times New Roman"/>
          <w:b w:val="0"/>
          <w:bCs w:val="0"/>
          <w:sz w:val="24"/>
          <w:szCs w:val="24"/>
          <w:lang w:val="en-US" w:eastAsia="zh-CN"/>
        </w:rPr>
        <w:t>姚  娟</w:t>
      </w:r>
      <w:r>
        <w:rPr>
          <w:rFonts w:hint="default" w:ascii="Times New Roman" w:hAnsi="Times New Roman" w:eastAsia="楷体" w:cs="Times New Roman"/>
          <w:b w:val="0"/>
          <w:bCs w:val="0"/>
          <w:sz w:val="24"/>
          <w:szCs w:val="24"/>
          <w:lang w:val="en-US" w:eastAsia="zh-CN"/>
        </w:rPr>
        <w:t>(</w:t>
      </w:r>
      <w:r>
        <w:rPr>
          <w:rFonts w:hint="eastAsia" w:eastAsia="楷体" w:cs="Times New Roman"/>
          <w:b w:val="0"/>
          <w:bCs w:val="0"/>
          <w:sz w:val="24"/>
          <w:szCs w:val="24"/>
          <w:lang w:val="en-US" w:eastAsia="zh-CN"/>
        </w:rPr>
        <w:t>98</w:t>
      </w:r>
      <w:r>
        <w:rPr>
          <w:rFonts w:hint="default" w:ascii="Times New Roman" w:hAnsi="Times New Roman" w:eastAsia="楷体" w:cs="Times New Roman"/>
          <w:b w:val="0"/>
          <w:bCs w:val="0"/>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黑体" w:cs="Times New Roman"/>
          <w:b/>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黑体" w:cs="Times New Roman"/>
          <w:b/>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黑体" w:cs="Times New Roman"/>
          <w:b/>
          <w:sz w:val="28"/>
          <w:szCs w:val="28"/>
          <w:lang w:eastAsia="zh-CN"/>
        </w:rPr>
      </w:pPr>
    </w:p>
    <w:p>
      <w:pPr>
        <w:pStyle w:val="3"/>
        <w:jc w:val="center"/>
        <w:rPr>
          <w:rFonts w:hint="eastAsia" w:ascii="黑体" w:hAnsi="黑体" w:eastAsia="黑体" w:cs="宋体"/>
          <w:b/>
          <w:sz w:val="32"/>
          <w:szCs w:val="32"/>
        </w:rPr>
        <w:sectPr>
          <w:headerReference r:id="rId6" w:type="first"/>
          <w:headerReference r:id="rId5" w:type="default"/>
          <w:footerReference r:id="rId7" w:type="default"/>
          <w:footnotePr>
            <w:numFmt w:val="decimal"/>
            <w:numRestart w:val="eachPage"/>
          </w:footnotePr>
          <w:type w:val="continuous"/>
          <w:pgSz w:w="11906" w:h="16838"/>
          <w:pgMar w:top="1440" w:right="1800" w:bottom="1440" w:left="1800" w:header="851" w:footer="992" w:gutter="0"/>
          <w:pgNumType w:fmt="decimal" w:start="1"/>
          <w:cols w:space="0" w:num="1"/>
          <w:titlePg/>
          <w:rtlGutter w:val="0"/>
          <w:docGrid w:type="lines" w:linePitch="312" w:charSpace="0"/>
        </w:sectPr>
      </w:pPr>
    </w:p>
    <w:p>
      <w:pPr>
        <w:pStyle w:val="3"/>
        <w:jc w:val="center"/>
        <w:rPr>
          <w:rFonts w:hint="eastAsia" w:ascii="黑体" w:hAnsi="黑体" w:eastAsia="黑体" w:cs="黑体"/>
          <w:b/>
          <w:bCs/>
          <w:sz w:val="32"/>
          <w:szCs w:val="32"/>
        </w:rPr>
      </w:pPr>
      <w:r>
        <w:rPr>
          <w:rFonts w:hint="eastAsia" w:ascii="黑体" w:hAnsi="黑体" w:eastAsia="黑体" w:cs="黑体"/>
          <w:b/>
          <w:bCs/>
          <w:sz w:val="32"/>
          <w:szCs w:val="32"/>
        </w:rPr>
        <w:t>波兰宪法审查制度的变迁</w:t>
      </w:r>
    </w:p>
    <w:p>
      <w:pPr>
        <w:pStyle w:val="3"/>
        <w:jc w:val="both"/>
        <w:rPr>
          <w:rFonts w:hint="eastAsia" w:ascii="黑体" w:hAnsi="黑体" w:eastAsia="黑体" w:cs="黑体"/>
          <w:b/>
          <w:bCs/>
          <w:sz w:val="32"/>
          <w:szCs w:val="32"/>
        </w:rPr>
      </w:pP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——对波兰《宪法裁判所法》的文本分析</w:t>
      </w:r>
    </w:p>
    <w:p>
      <w:pPr>
        <w:pStyle w:val="3"/>
        <w:jc w:val="both"/>
        <w:rPr>
          <w:rFonts w:hint="eastAsia" w:ascii="黑体" w:hAnsi="黑体" w:eastAsia="黑体" w:cs="黑体"/>
          <w:b/>
          <w:bCs/>
          <w:sz w:val="21"/>
          <w:szCs w:val="21"/>
        </w:rPr>
      </w:pPr>
    </w:p>
    <w:p>
      <w:pPr>
        <w:pStyle w:val="3"/>
        <w:jc w:val="center"/>
        <w:rPr>
          <w:rFonts w:hint="eastAsia"/>
        </w:rPr>
      </w:pPr>
      <w:r>
        <w:rPr>
          <w:rFonts w:hint="eastAsia"/>
        </w:rPr>
        <w:t>王卫明</w:t>
      </w:r>
      <w:r>
        <w:rPr>
          <w:rStyle w:val="12"/>
          <w:rFonts w:hint="eastAsia"/>
        </w:rPr>
        <w:footnoteReference w:id="0" w:customMarkFollows="1"/>
        <w:t>*</w:t>
      </w:r>
    </w:p>
    <w:p>
      <w:pPr>
        <w:pStyle w:val="3"/>
        <w:jc w:val="center"/>
        <w:rPr>
          <w:rFonts w:hint="eastAsia"/>
        </w:rPr>
      </w:pP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楷体" w:hAnsi="楷体" w:eastAsia="楷体" w:cs="楷体"/>
          <w:sz w:val="21"/>
          <w:szCs w:val="21"/>
        </w:rPr>
      </w:pPr>
      <w:r>
        <w:rPr>
          <w:rFonts w:hint="eastAsia" w:ascii="宋体" w:hAnsi="宋体" w:eastAsia="宋体" w:cs="宋体"/>
          <w:b/>
          <w:bCs/>
          <w:sz w:val="21"/>
          <w:szCs w:val="21"/>
        </w:rPr>
        <w:t>摘</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要:</w:t>
      </w:r>
      <w:r>
        <w:rPr>
          <w:rFonts w:hint="eastAsia" w:ascii="楷体" w:hAnsi="楷体" w:eastAsia="楷体" w:cs="楷体"/>
          <w:sz w:val="21"/>
          <w:szCs w:val="21"/>
        </w:rPr>
        <w:t>波兰通过1982年的宪法修正案和1985年的《宪法裁判所法》引入宪法审查制度。1989年波兰社会制度发生转型,不过宪法审查制得以保留,但是宪法审查的性质和功能已发生根本转变。 1997年波兰通过现行宪法,新宪法成为新的制度背景下宪法审查制的基础。基于对不同历史时期的两部《宪法裁判所法》及其宪法基础的分析,以此揭示波兰宪法审查制在性质、功能等方面的变迁。</w:t>
      </w:r>
    </w:p>
    <w:p>
      <w:pPr>
        <w:pStyle w:val="3"/>
        <w:rPr>
          <w:rFonts w:hint="eastAsia"/>
        </w:rPr>
      </w:pPr>
      <w:r>
        <w:rPr>
          <w:rFonts w:hint="eastAsia" w:ascii="宋体" w:hAnsi="宋体" w:eastAsia="宋体" w:cs="宋体"/>
          <w:b/>
          <w:bCs/>
          <w:sz w:val="21"/>
          <w:szCs w:val="21"/>
        </w:rPr>
        <w:t>关键词:</w:t>
      </w:r>
      <w:r>
        <w:rPr>
          <w:rFonts w:hint="eastAsia" w:ascii="楷体" w:hAnsi="楷体" w:eastAsia="楷体" w:cs="楷体"/>
        </w:rPr>
        <w:t>宪法审查</w:t>
      </w:r>
      <w:r>
        <w:rPr>
          <w:rFonts w:hint="eastAsia" w:ascii="楷体" w:hAnsi="楷体" w:eastAsia="楷体" w:cs="楷体"/>
          <w:lang w:val="en-US" w:eastAsia="zh-CN"/>
        </w:rPr>
        <w:t xml:space="preserve">  </w:t>
      </w:r>
      <w:r>
        <w:rPr>
          <w:rFonts w:hint="eastAsia" w:ascii="楷体" w:hAnsi="楷体" w:eastAsia="楷体" w:cs="楷体"/>
        </w:rPr>
        <w:t>《宪法裁判所法》</w:t>
      </w:r>
      <w:r>
        <w:rPr>
          <w:rFonts w:hint="eastAsia" w:ascii="楷体" w:hAnsi="楷体" w:eastAsia="楷体" w:cs="楷体"/>
          <w:lang w:val="en-US" w:eastAsia="zh-CN"/>
        </w:rPr>
        <w:t xml:space="preserve">  </w:t>
      </w:r>
      <w:r>
        <w:rPr>
          <w:rFonts w:hint="eastAsia" w:ascii="楷体" w:hAnsi="楷体" w:eastAsia="楷体" w:cs="楷体"/>
        </w:rPr>
        <w:t>宪法裁判所</w:t>
      </w:r>
    </w:p>
    <w:p>
      <w:pPr>
        <w:pStyle w:val="3"/>
        <w:rPr>
          <w:rFonts w:hint="eastAsia"/>
        </w:rPr>
      </w:pP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1" w:firstLineChars="0"/>
        <w:jc w:val="both"/>
        <w:textAlignment w:val="auto"/>
        <w:outlineLvl w:val="9"/>
        <w:rPr>
          <w:rFonts w:hint="eastAsia"/>
        </w:rPr>
      </w:pPr>
      <w:r>
        <w:rPr>
          <w:rFonts w:hint="eastAsia"/>
        </w:rPr>
        <w:t>波兰宪法审查制度创建于1982年,宪法基础是当年3月26日通过的对1952年宪法的修改案。根据此修正案创设了两个新的国家机关:宪法裁判所和国家裁判所,宪法裁判所被赋予宪法审查的职能。但宪法审查制度的完全引入是在1985年,这一年波兰通过了历史上的第一部《宪法裁判所法》</w:t>
      </w:r>
      <w:r>
        <w:rPr>
          <w:rFonts w:hint="eastAsia"/>
          <w:lang w:eastAsia="zh-CN"/>
        </w:rPr>
        <w:t>，</w:t>
      </w:r>
      <w:r>
        <w:rPr>
          <w:rFonts w:hint="eastAsia"/>
        </w:rPr>
        <w:t>它是宪法裁判所开展宪法审查活动的基础性法律文件。1989年波兰政治体制转型,但宪法裁判所在此后不同时期的宪法修正案或新宪法中都被保留下来。波兰现行宪法审查制度的宪法基础是1997年通过的波兰宪法即现行宪法,于同年颁行的《宪法裁判所法》成为宪法审查活动的法律基础。本文旨在通过对不同时期、不同制度下的两个《宪法裁判所法》文本的分析来探讨波兰的宪法审查的变迁。</w:t>
      </w:r>
    </w:p>
    <w:p>
      <w:pPr>
        <w:pStyle w:val="3"/>
        <w:ind w:firstLine="421"/>
        <w:rPr>
          <w:rFonts w:hint="eastAsia"/>
        </w:rPr>
      </w:pP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一、两部《宪法裁判所法》出台的背景简介</w:t>
      </w: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r>
        <w:rPr>
          <w:rFonts w:hint="eastAsia"/>
        </w:rPr>
        <w:t>波兰社会制度转型过程中,有两个重要的转变期:第一次社会转变发生于1980年8月至1981年12月,第二次发生于1988年春天到1989年12月</w:t>
      </w:r>
      <w:r>
        <w:rPr>
          <w:rFonts w:hint="eastAsia"/>
          <w:vertAlign w:val="superscript"/>
        </w:rPr>
        <w:t>[</w:t>
      </w:r>
      <w:r>
        <w:rPr>
          <w:rFonts w:hint="eastAsia"/>
          <w:vertAlign w:val="superscript"/>
        </w:rPr>
        <w:endnoteReference w:id="0"/>
      </w:r>
      <w:r>
        <w:rPr>
          <w:rFonts w:hint="eastAsia"/>
          <w:vertAlign w:val="superscript"/>
        </w:rPr>
        <w:t>]</w:t>
      </w:r>
      <w:r>
        <w:rPr>
          <w:rFonts w:hint="eastAsia"/>
        </w:rPr>
        <w:t>。第一次社会转变的直接结果是对1952年宪法进行修改,最终于1982年3月26日通过宪法修正案。根据此宪法修正案波兰新设立了两个国家机关:宪法裁判所和国家裁判所。该修正案第33a条第6款规定:宪法裁判所的管辖权,组织和程序应当由法律规定。波兰议会在宪法修正案通过后着手制定《宪法裁判所法》。由于执政党和反对党难以在较短时间内达成比较统一的意见,因此在经过3年多的激烈争论后《宪法裁判所法》才得以在1985年4月29日经议会批准通过, 1986年1月1日正式生效。第二部《宪法裁判所法》制定于1997年8月1日。这一年波兰现行宪法(以下称为1997宪法)在4月经由参众两院组成的国民大会批准,5月通过全民公决,10月17日正式生效。波兰自1989年社会制度发生根本变革以来就在着手制定新的宪法,到新宪法正式通过经历了近8年时间(其间有1992年的一部过渡性宪法,即“小宪法”),因此在制定新宪法的同时制定一部新的《宪法裁判所法》的工作也在准备之中。另一方面,宪法裁判所自1986年以来的审判实践为宪法审查制度的发展做了比较充分的准备,加之民主法治国的理念也被广泛接受,因此在新宪法通过不久议会就颁布了新的《宪法裁判所法》,没有经历第一部《宪法裁判所法》出台时激烈而漫长的争论过程。</w:t>
      </w:r>
    </w:p>
    <w:p>
      <w:pPr>
        <w:pStyle w:val="3"/>
        <w:rPr>
          <w:rFonts w:hint="eastAsia"/>
        </w:rPr>
      </w:pP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二、两部《宪法裁判所法》的不同制度背景分析</w:t>
      </w: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r>
        <w:rPr>
          <w:rFonts w:hint="eastAsia"/>
        </w:rPr>
        <w:t>波兰引入宪法审查制是通过1982年宪法修正案和1985年《宪法裁判所法》的制定完成的。两次立法的宪法基础都是1952年宪法,即宪法审查制的引入是建立在1952年宪法确立的社会主义制度基础上的</w:t>
      </w:r>
      <w:r>
        <w:rPr>
          <w:rFonts w:hint="eastAsia"/>
          <w:vertAlign w:val="superscript"/>
        </w:rPr>
        <w:t>[</w:t>
      </w:r>
      <w:r>
        <w:rPr>
          <w:rFonts w:hint="eastAsia"/>
          <w:vertAlign w:val="superscript"/>
          <w:lang w:val="en-US" w:eastAsia="zh-CN"/>
        </w:rPr>
        <w:t>2</w:t>
      </w:r>
      <w:r>
        <w:rPr>
          <w:rFonts w:hint="eastAsia"/>
          <w:vertAlign w:val="superscript"/>
        </w:rPr>
        <w:t>]</w:t>
      </w:r>
      <w:r>
        <w:rPr>
          <w:rFonts w:hint="eastAsia"/>
        </w:rPr>
        <w:t>,这一制度的一项重要内容是:议会是国家的最高权力机关(1952年宪法第20条第1、2款);议会颁行法律并实行监督国家其他权力机关与管理机关的工作(第20条第3款)</w:t>
      </w:r>
      <w:r>
        <w:rPr>
          <w:rFonts w:hint="eastAsia"/>
          <w:vertAlign w:val="superscript"/>
        </w:rPr>
        <w:t>[</w:t>
      </w:r>
      <w:r>
        <w:rPr>
          <w:rFonts w:hint="eastAsia"/>
          <w:vertAlign w:val="superscript"/>
          <w:lang w:val="en-US" w:eastAsia="zh-CN"/>
        </w:rPr>
        <w:t>2</w:t>
      </w:r>
      <w:r>
        <w:rPr>
          <w:rFonts w:hint="eastAsia"/>
          <w:vertAlign w:val="superscript"/>
        </w:rPr>
        <w:t>]</w:t>
      </w:r>
      <w:r>
        <w:rPr>
          <w:rFonts w:hint="eastAsia"/>
        </w:rPr>
        <w:t>。宪法审查制的引入则意味着宪法裁判所监督议会的立法,直接构成对议会至上权力的挑战。因此宪法审查如何协调与权力统一、与议会至上的关系是波兰最初引入宪法审查时面临的最重要的问题。引入宪法审查主要是反对派的政治要求,但在80年代初反对派并没有强大到完全成为国家政治生活中的主导力量,因此无论是1982年的宪法修改还是1985年《宪法裁判所法》的制定最后都是以不同政治派别间的相互妥协完成。表现在宪法修正案中就是没有完全确立宪法裁判所的司法地位,只是赋予裁判所有限的审判权,并且有限的审判权到了《宪法裁判所法》中还受到减损(下文对此会有论述)。因此,从1985年到1989年之间的波兰宪法审查制度仍处于社会主义制度背景下</w:t>
      </w:r>
      <w:r>
        <w:rPr>
          <w:rStyle w:val="12"/>
          <w:rFonts w:hint="eastAsia"/>
        </w:rPr>
        <w:t>[</w:t>
      </w:r>
      <w:r>
        <w:rPr>
          <w:rStyle w:val="12"/>
          <w:rFonts w:hint="eastAsia"/>
        </w:rPr>
        <w:footnoteReference w:id="1"/>
      </w:r>
      <w:r>
        <w:rPr>
          <w:rStyle w:val="12"/>
          <w:rFonts w:hint="eastAsia"/>
        </w:rPr>
        <w:t>]</w:t>
      </w:r>
      <w:r>
        <w:rPr>
          <w:rFonts w:hint="eastAsia"/>
        </w:rPr>
        <w:t>。社会主义制度的痕迹在1985年的《宪法裁判所法》中清晰可见,该法第13条第6款规定宪法裁判所成员在就职时必须宣誓“忠于社会主义的国家制度”。波兰1997年宪法,已明确“民主法治国”的原则(宪法第2条)和“分权与制衡”原则(第10条)。上述原则的确立保证了宪法裁判所真正的司法地位和裁判所比较充分的裁判权。</w:t>
      </w:r>
    </w:p>
    <w:p>
      <w:pPr>
        <w:pStyle w:val="3"/>
        <w:rPr>
          <w:rFonts w:hint="eastAsia"/>
        </w:rPr>
      </w:pP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rPr>
      </w:pPr>
      <w:r>
        <w:rPr>
          <w:rFonts w:hint="eastAsia" w:ascii="黑体" w:hAnsi="黑体" w:eastAsia="黑体" w:cs="黑体"/>
          <w:b/>
          <w:bCs/>
          <w:sz w:val="28"/>
          <w:szCs w:val="28"/>
        </w:rPr>
        <w:t>三、宪法裁判所性质的变化</w:t>
      </w: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r>
        <w:rPr>
          <w:rFonts w:hint="eastAsia"/>
        </w:rPr>
        <w:t>如果仅仅只从两部裁判所法看,宪法裁判所都被赋予对法律法规进行合宪性审查的职能,似乎不同时期的宪法裁判所具有司法性质。但事实上1982年宪法引入的宪法裁判所的司法性质是不明确的,1997年宪法才完全确立了宪法裁判所的司法性质和司法地位。由于两部《宪法裁判所法》都没有对裁判所的性质加以明确规定(在宪政国家也只有宪法才能规定宪法裁判所的性质和法律地位),因此,要看清裁判所的性质必须回到设立裁判所的宪法依据上。1985年《宪法裁判所法》的宪法依据是1982年通过的宪法修正案,即1952年宪法第33a条</w:t>
      </w:r>
      <w:r>
        <w:rPr>
          <w:rStyle w:val="12"/>
          <w:rFonts w:hint="eastAsia"/>
        </w:rPr>
        <w:t>[</w:t>
      </w:r>
      <w:r>
        <w:rPr>
          <w:rStyle w:val="12"/>
          <w:rFonts w:hint="eastAsia"/>
        </w:rPr>
        <w:footnoteReference w:id="2"/>
      </w:r>
      <w:r>
        <w:rPr>
          <w:rStyle w:val="12"/>
          <w:rFonts w:hint="eastAsia"/>
        </w:rPr>
        <w:t>]</w:t>
      </w:r>
      <w:r>
        <w:rPr>
          <w:rFonts w:hint="eastAsia"/>
          <w:vertAlign w:val="superscript"/>
        </w:rPr>
        <w:t>[</w:t>
      </w:r>
      <w:r>
        <w:rPr>
          <w:rFonts w:hint="eastAsia"/>
          <w:vertAlign w:val="superscript"/>
          <w:lang w:val="en-US" w:eastAsia="zh-CN"/>
        </w:rPr>
        <w:t>3</w:t>
      </w:r>
      <w:r>
        <w:rPr>
          <w:rFonts w:hint="eastAsia"/>
          <w:vertAlign w:val="superscript"/>
        </w:rPr>
        <w:t>]</w:t>
      </w:r>
      <w:r>
        <w:rPr>
          <w:rFonts w:hint="eastAsia"/>
        </w:rPr>
        <w:t>。这一条确立了宪法裁判所的宪法审查权(第1款),规定了宪法裁判所成员独立的、只服从于宪法的地位(第5款),但是这一条是被置于宪法第四章下,这一章规定裁判所和其他国家机构。另外有单独一章,即第七章规定法院和检察院。宪法中没有其他条文指明裁判所和法院在性质上的共同之处。立法上的这一安排意味着当时的波兰还没有将裁判所完全视同于司法机关。宪法修正案一方面赋予宪法裁判所具有司法性质的审查权,另一方面回避了对宪法裁判所性质的明确界定并且将宪法裁判所和法院分开规定。如果说上面的论证似乎有点勉强的话,我们可以看看1997年的宪法规定。1997年宪法第八章规定法院和裁判所,共分为三部分,即一般条款、宪法裁判所和国家裁判所。在一般条款部分,第173条明确规定:法院和裁判所(包括宪法裁判所)应当构成独立于其他权力的单独的权力。那么这个权力的内容和性质是什么呢?宪法第10条给出了清晰的解答。第10条第1款:波兰共和国的政府系统应当建立在立法权、行政权和司法权分权和平衡的基础上;第2款:立法权应当授予众议院和参议院(Se</w:t>
      </w:r>
      <w:r>
        <w:rPr>
          <w:rFonts w:hint="eastAsia"/>
          <w:lang w:val="en-US" w:eastAsia="zh-CN"/>
        </w:rPr>
        <w:t>j</w:t>
      </w:r>
      <w:r>
        <w:rPr>
          <w:rFonts w:hint="eastAsia"/>
        </w:rPr>
        <w:t>m and</w:t>
      </w:r>
      <w:r>
        <w:rPr>
          <w:rFonts w:hint="eastAsia"/>
          <w:lang w:val="en-US" w:eastAsia="zh-CN"/>
        </w:rPr>
        <w:t xml:space="preserve"> </w:t>
      </w:r>
      <w:r>
        <w:rPr>
          <w:rFonts w:hint="eastAsia"/>
        </w:rPr>
        <w:t>Senate),行政权应当授予波兰共和国总统和国务院,司法权应当授予法院和裁判所。至此,我们可以清晰和完整地看出宪法裁判所的司法性质。在1952宪法(包括后来的修正案)中我们却无法找到类似的规定。理由在于:一方面,198</w:t>
      </w:r>
      <w:r>
        <w:rPr>
          <w:rFonts w:hint="eastAsia"/>
          <w:lang w:val="en-US" w:eastAsia="zh-CN"/>
        </w:rPr>
        <w:t>2</w:t>
      </w:r>
      <w:r>
        <w:rPr>
          <w:rFonts w:hint="eastAsia"/>
        </w:rPr>
        <w:t>年宪法修改时波兰并没有改变自1952年以来的国家性质,没有确立三权分立和制衡的机制,众议院(Sejm)仍然在国家体系中具有最高性;另一方面,1982年宪法修改引入的宪法裁判所被授予的权力是不充分的,尤其是裁判所并没有完全的和最后的裁判权,恰恰是这一点不符合司法的性质。1982年宪法修正案对宪法裁判所司法性质的不明确和有所保留的规定还可以从有关“法官”名称的条文看出。宪法第33a条第4款规定:宪法裁判所成员应当由众议院从具有杰出法律知识的人中选举产生;第5款:宪法裁判所成员应当独立并只服从于宪法。在上述两个条文中都是使用的“宪法裁判所成员” ,而没有使用“宪法裁判所法官”;同样,1985年《宪法裁判所法》第五部分的相应条款也是使用的“宪法裁判所成员” ,而不是“宪法裁判所法官”;1997年的宪法和《宪法裁判所法》 ,无论是英语文本还是德语文本,都使用“宪法裁判所法官”一词。</w:t>
      </w: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黑体" w:hAnsi="黑体" w:eastAsia="黑体" w:cs="黑体"/>
          <w:b/>
          <w:bCs/>
          <w:sz w:val="21"/>
          <w:szCs w:val="21"/>
        </w:rPr>
      </w:pP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四、宪法裁判所裁判权的变迁</w:t>
      </w: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b/>
          <w:bCs/>
          <w:sz w:val="24"/>
          <w:szCs w:val="24"/>
        </w:rPr>
      </w:pPr>
      <w:r>
        <w:rPr>
          <w:rFonts w:hint="eastAsia"/>
          <w:b/>
          <w:bCs/>
          <w:sz w:val="24"/>
          <w:szCs w:val="24"/>
        </w:rPr>
        <w:t>(一)宪法裁判所管辖权的一般规定</w:t>
      </w: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r>
        <w:rPr>
          <w:rFonts w:hint="eastAsia"/>
        </w:rPr>
        <w:t>1982年宪法修正案第33a条第1款规定了宪法裁判所的裁判权:宪法裁判所应当对法律和对其他由主要的中央国家机关制定的法规的合宪性进行裁判,应当对法律作出统一有约束力的阐释。1985年《宪法裁判所法》第1条用两个条款将宪法所赋予的权力具体化:其一,裁判所审查由众议院制定和批准的法律的合宪性;其二,裁判所对由国家委员会、最高的中央国家行政机关、其他最高的中央国家机关颁布的法规是否符合宪法或法律进行审查。上述两项审查内容通常合称为法律规范审查。但是,宪法裁判所并不是有权对所有符合裁判所法第1条规定的法律法规进行审查。《宪法裁判所法》第21条规定:提交到裁判所的审查申请,如果申请涉及的法律自公布之时、法规自获得批准之时已经经过了5年的时间,那么裁判所应当将此申请转交给制定或批准法律法规的众议院或其他机关。言下之意,就是裁判所对于公布或生效5年的法律法规不再享有裁判权。这一限制条款是裁判所对众议院立法权一定程度的妥协。《宪法裁判所法》的妥协性还表现在:本来1982年宪法修正案还有一个条文赋予了裁判所一项裁判权,即第4条第2款:宪法裁判所应当就政党的目标或活动与宪法的不一致进行裁判。但是1985年《宪法裁判所法》却没有将宪法的这一条文具体化,这就意味着宪法裁判所没有被赋予此项职权,因为1982年宪法修正案第33a条第6款规定:宪法裁判所的管辖权,组织和程序应当由法律规定。既然《宪法裁判所法》没有规定对政党的目标或活动与宪法是否一致的裁判事项,因此宪法裁判所自然不享有该项职权。在这一点上1985年《宪法裁判所法》无疑是对1982年宪法修正案第4条第2款的背离。1997年宪法第188条规定了裁判所的管辖权:对法律和国际条约合宪性审查、对批准国际条约的法律合宪性审查、对由中央机关制定的法规合宪性审查、对政党目标或活动合宪性审查、涉及宪法侵权的诉愿审查。此外,宪法第131条规定裁判所在众议院请求下对是否存在总统不能行使职权的情况的审查;第186条规定国家司法委员会可以就法规涉及法院和法官的独立性问题向裁判所提出审查申请;第189条规定裁判所应当解决中央国家机关的权限争议。《宪法裁判所法》第2条集中列举了上述宪法中分散规定的裁判权;第3条还规定:任何法院可以就案件审理中涉及法律法规合宪性的问题向裁判所提交审查申请。因此自1997年以来宪法裁判所享有的权力可以归纳为: 1)法律规范审查;2)处理中央国家机关之间的权限争议;3)审查政党的目标和(或)活动是否符合宪法</w:t>
      </w:r>
      <w:r>
        <w:rPr>
          <w:rStyle w:val="12"/>
          <w:rFonts w:hint="eastAsia"/>
        </w:rPr>
        <w:t>[</w:t>
      </w:r>
      <w:r>
        <w:rPr>
          <w:rStyle w:val="12"/>
          <w:rFonts w:hint="eastAsia"/>
        </w:rPr>
        <w:footnoteReference w:id="3"/>
      </w:r>
      <w:r>
        <w:rPr>
          <w:rStyle w:val="12"/>
          <w:rFonts w:hint="eastAsia"/>
        </w:rPr>
        <w:t>]</w:t>
      </w:r>
      <w:r>
        <w:rPr>
          <w:rFonts w:hint="eastAsia"/>
        </w:rPr>
        <w:t>; 4)应众议院申请审查总统是否失去任职能力;5)对公民宪法申诉的审查</w:t>
      </w:r>
      <w:r>
        <w:rPr>
          <w:rFonts w:hint="eastAsia"/>
          <w:vertAlign w:val="superscript"/>
        </w:rPr>
        <w:t>[</w:t>
      </w:r>
      <w:r>
        <w:rPr>
          <w:rFonts w:hint="eastAsia"/>
          <w:vertAlign w:val="superscript"/>
          <w:lang w:val="en-US" w:eastAsia="zh-CN"/>
        </w:rPr>
        <w:t>4</w:t>
      </w:r>
      <w:r>
        <w:rPr>
          <w:rFonts w:hint="eastAsia"/>
          <w:vertAlign w:val="superscript"/>
        </w:rPr>
        <w:t>]</w:t>
      </w:r>
      <w:r>
        <w:rPr>
          <w:rFonts w:hint="eastAsia"/>
        </w:rPr>
        <w:t>。与1985年《宪法裁判所法》相比,新的《宪法裁判所法》规定了宪法裁判所更多的裁判权</w:t>
      </w:r>
      <w:r>
        <w:rPr>
          <w:rFonts w:hint="eastAsia"/>
          <w:lang w:eastAsia="zh-CN"/>
        </w:rPr>
        <w:t>。</w:t>
      </w:r>
      <w:r>
        <w:rPr>
          <w:rFonts w:hint="eastAsia"/>
        </w:rPr>
        <w:t>1985年的裁判所只享有法律法规审查权一项职权,到1997年裁判所权能发展到5项。这些新增加的裁判权是波兰建设民主法治国的重要内容</w:t>
      </w:r>
      <w:r>
        <w:rPr>
          <w:rFonts w:hint="eastAsia"/>
          <w:vertAlign w:val="superscript"/>
        </w:rPr>
        <w:t>[</w:t>
      </w:r>
      <w:r>
        <w:rPr>
          <w:rFonts w:hint="eastAsia"/>
          <w:vertAlign w:val="superscript"/>
          <w:lang w:val="en-US" w:eastAsia="zh-CN"/>
        </w:rPr>
        <w:t>5</w:t>
      </w:r>
      <w:r>
        <w:rPr>
          <w:rFonts w:hint="eastAsia"/>
          <w:vertAlign w:val="superscript"/>
        </w:rPr>
        <w:t>]</w:t>
      </w:r>
      <w:r>
        <w:rPr>
          <w:rFonts w:hint="eastAsia"/>
        </w:rPr>
        <w:t>,特别是解决中央国家机关权限争议的裁判权完全确立了宪法裁判所独立的司法性质的法律地位;对宪法侵权引起的诉愿案件的裁判对保护公民基本权利提供了比较现实和真实的途径。</w:t>
      </w: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rPr>
      </w:pP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b/>
          <w:bCs/>
          <w:sz w:val="24"/>
          <w:szCs w:val="24"/>
        </w:rPr>
      </w:pPr>
      <w:r>
        <w:rPr>
          <w:rFonts w:hint="eastAsia"/>
          <w:b/>
          <w:bCs/>
          <w:sz w:val="24"/>
          <w:szCs w:val="24"/>
        </w:rPr>
        <w:t>(二)宪法裁判所法判决的效力</w:t>
      </w: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r>
        <w:rPr>
          <w:rFonts w:hint="eastAsia"/>
        </w:rPr>
        <w:t>1982年宪法修正案第33a条第2款规定:宪法裁判所作出的法律与宪法不一致的判决应当由众议院进行审查;第3款:宪法裁判所作出的其他法规与宪法或法律不一致的判决具有约束力,宪法裁判所应当采取措施消除法规中的不一致。以上条文包含下面三层意思: 1)宪法裁判所作出的法律与宪法一致,法规与宪法或法律一致的判决具有约束力,因此也是最后判决;2)宪法裁判所作出法规与宪法或法律不一致的判决有约束力,是最后判决;3)宪法裁判所作出的法律与宪法不一致的判决不是最后判决,不具有约束力,判决必须提交众议院,只有众议院的决定才是最后的、具有约束力的。关于众议院对宪法裁判所提交的法律与宪法不一致判决的审查程序和决定效力,《宪法裁判所法》第6条对此做了规定。内容包括: 1)众议院的审查时间,众议院在正在举行的会议期间或下次会议期间审查裁判所提交的判决(第2款);2)众议院的审查结果,如果众议院认为裁判所的判决是有根据的,众议院将修改法律,或者取消、部分取消被判决违宪的法律或部分条文;3)众议院审查的限制,如果众议院认为裁判所判决是有根据的,裁判所法对于参会人数和表决通过人数没有规定;但是如果众议院认为判决涉及的法律是合宪的,即否定了裁判所的判决,那么众议院作出推翻裁判所的判决的决定必须获得半数以上众议员参加表决情况下的2/3多数票方可生效。与1985年《宪法裁判所法》规定的裁判所判决效力不同,1997年宪法第190条第1款规定:宪法裁判所的判决应当得到统一并且有约束力的适用,判决应当是最后</w:t>
      </w:r>
      <w:r>
        <w:rPr>
          <w:rFonts w:hint="eastAsia"/>
          <w:lang w:eastAsia="zh-CN"/>
        </w:rPr>
        <w:t>的</w:t>
      </w:r>
      <w:r>
        <w:rPr>
          <w:rStyle w:val="12"/>
          <w:rFonts w:hint="eastAsia"/>
          <w:lang w:eastAsia="zh-CN"/>
        </w:rPr>
        <w:t>[</w:t>
      </w:r>
      <w:r>
        <w:rPr>
          <w:rStyle w:val="12"/>
          <w:rFonts w:hint="eastAsia"/>
          <w:lang w:eastAsia="zh-CN"/>
        </w:rPr>
        <w:footnoteReference w:id="4"/>
      </w:r>
      <w:r>
        <w:rPr>
          <w:rStyle w:val="12"/>
          <w:rFonts w:hint="eastAsia"/>
          <w:lang w:eastAsia="zh-CN"/>
        </w:rPr>
        <w:t>]</w:t>
      </w:r>
      <w:r>
        <w:rPr>
          <w:rFonts w:hint="eastAsia"/>
        </w:rPr>
        <w:t>宪法裁判所判决的效力与宪法裁判所完全独立的司法地位是一致的。</w:t>
      </w:r>
    </w:p>
    <w:p>
      <w:pPr>
        <w:pStyle w:val="3"/>
        <w:rPr>
          <w:rFonts w:hint="eastAsia"/>
        </w:rPr>
      </w:pP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黑体" w:hAnsi="黑体" w:eastAsia="黑体" w:cs="黑体"/>
          <w:b/>
          <w:bCs/>
          <w:sz w:val="28"/>
          <w:szCs w:val="28"/>
        </w:rPr>
      </w:pPr>
      <w:r>
        <w:rPr>
          <w:rFonts w:hint="eastAsia" w:ascii="黑体" w:hAnsi="黑体" w:eastAsia="黑体" w:cs="黑体"/>
          <w:b/>
          <w:bCs/>
          <w:sz w:val="28"/>
          <w:szCs w:val="28"/>
        </w:rPr>
        <w:t>五、宪法裁判所在政治体制中的位置</w:t>
      </w:r>
    </w:p>
    <w:p>
      <w:pPr>
        <w:pStyle w:val="3"/>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r>
        <w:rPr>
          <w:rFonts w:hint="eastAsia"/>
        </w:rPr>
        <w:t>宪法裁判所在政治体制中的位置所涉及的主要问题是裁判所与议会的关系。1980年的波兰仍处于社会主义制度下,议会至上是这一制度的主要特征,而宪法裁判所的一项重要职能是对议会制定的法律进行审查,那么是不是引入宪法审查就意味着推翻了议会至上的特征呢?</w:t>
      </w:r>
      <w:r>
        <w:rPr>
          <w:rFonts w:hint="eastAsia"/>
          <w:lang w:val="en-US" w:eastAsia="zh-CN"/>
        </w:rPr>
        <w:t xml:space="preserve"> </w:t>
      </w:r>
      <w:r>
        <w:rPr>
          <w:rFonts w:hint="eastAsia"/>
        </w:rPr>
        <w:t>答案是否定的。除了宪法条文中“社会主义制度”的内容并没有废除外,宪法审查在当时政治体制下还表现出与权力统一、议会至上的协调性。通过对1982年宪法修正案的宪法条文以及1985年《宪法裁判所法》的条文分析我们可以看出宪法审查与议会至上的协调表现在以下几个方面: 1)宪法裁判所由国会选举被普遍认为是接受国家权力统一的观念;2)宪法裁判所的工作是服务国会,维护国会在立法方面的最高地位</w:t>
      </w:r>
      <w:r>
        <w:rPr>
          <w:rStyle w:val="9"/>
          <w:rFonts w:hint="eastAsia"/>
          <w:vertAlign w:val="superscript"/>
        </w:rPr>
        <w:t>[</w:t>
      </w:r>
      <w:r>
        <w:rPr>
          <w:rFonts w:hint="eastAsia"/>
          <w:vertAlign w:val="superscript"/>
          <w:lang w:val="en-US" w:eastAsia="zh-CN"/>
        </w:rPr>
        <w:t>6</w:t>
      </w:r>
      <w:r>
        <w:rPr>
          <w:rStyle w:val="9"/>
          <w:rFonts w:hint="eastAsia"/>
          <w:vertAlign w:val="superscript"/>
        </w:rPr>
        <w:t>]</w:t>
      </w:r>
      <w:r>
        <w:rPr>
          <w:rFonts w:hint="eastAsia"/>
        </w:rPr>
        <w:t>; 3)宪法裁判所必须向国会呈递裁判所判决案件中的重要信息(1985年《宪法裁判所法》第31条),向国会呈递关于某一法律越权或存在漏洞的评价;4)宪法裁判所只对议会制定法律的一部分享有裁判权;5)裁判所对于国会立法违宪性的判决不是终局的,仍然必须由国会自己决定。协调的实质是宪法裁判所对于议会的依附,这种依附性是当时宪法裁判所与议会关系的本质,并且这种依附关系恰恰是和前面谈到的宪法裁判所的不完全的司法性、有限的裁判权具有直接的因果关系。当然,对上述理由的第一条,即“宪法裁判所由国会选举被认为是接受国家权力统一”的观点必须结合具体的政治体制进行分析。波兰1997宪法也同样规定宪法裁判所法官由议会选举产生,但是国家已完全接受和实行“分权和制衡”的原则,而不是“权力统一”原则。1997年宪法则确立了宪法裁判所作为行使司法权的机关与议会并列、分权和制衡的关系。宪法第10条规定: 1)波兰共和国的政府系统应当建立在立法权、行政权和司法权分权和平衡的基础上(第1款);2)立法权应当授予众议院和参议院,行政权应当授予波兰共和国总统和国务院,司法权应当授予法院和裁判所(第2款)。宪法第173条还规定:法院和裁判所应当构成独立于其他权力的分立的权力。因此我们可以看到,根据1997年宪法和《宪法裁判所法》 ,宪法裁判所有权对议会所有立法进行审查,而不是只能审查部分法律;宪法裁判所的任何判决都是有约束力并且是最后的,判决不再受到议会的重新审查。当然,两部《宪法裁判所法》内容上还有一些显著的差别,比如宪法裁判所的构成人数、宪法裁判所成员(法官)任职的期限、裁判所判决的生效时间。但是这些差别主要不是由当时的社会制度决定,也对宪法裁判所的性质和功能没有实质影响。在笔者看来,探讨宪法裁判制度的变迁应当主要关注宪法裁判所性质、裁判权以及在政治体制中的位置等方面的变化。波兰于20世纪80年代中期引入宪法裁判制度。由于当时社会主义国家制度和议会至上的限制,宪法裁判所没有获得完全独立的司法地位,裁判所只能享有对法律法规审查的一项审查权能,并且审查的权力还受到立法的实际或隐含的限制。但同时我们必须看到,即便在这种有限审查权的限制下宪法裁判所还是通过审判实践发展出“法治国原则”的宪法理论</w:t>
      </w:r>
      <w:r>
        <w:rPr>
          <w:rStyle w:val="9"/>
          <w:rFonts w:hint="eastAsia"/>
          <w:vertAlign w:val="superscript"/>
        </w:rPr>
        <w:t>[</w:t>
      </w:r>
      <w:r>
        <w:rPr>
          <w:rFonts w:hint="eastAsia"/>
          <w:vertAlign w:val="superscript"/>
          <w:lang w:val="en-US" w:eastAsia="zh-CN"/>
        </w:rPr>
        <w:t>7</w:t>
      </w:r>
      <w:r>
        <w:rPr>
          <w:rStyle w:val="9"/>
          <w:rFonts w:hint="eastAsia"/>
          <w:vertAlign w:val="superscript"/>
        </w:rPr>
        <w:t>]</w:t>
      </w:r>
      <w:r>
        <w:rPr>
          <w:rFonts w:hint="eastAsia"/>
        </w:rPr>
        <w:t>。“法治国原则”成为1997年宪法的一项基本原则(第2条)。在民主法治和三权分立原则基础上,1997年的宪法裁判所成为真正意义上的司法机关,享有更为广泛的审查权力。然而我们也应看到它的局限性。例如在1997年《宪法裁判所法》制定过程中,很多学者希望将宪法裁判所“处理中央和地方之间的权限争议”的审查事项写进去,最后没有成功;宪法裁判所为个人提供权利救济的范围比德国、西班牙等国家要窄得多。只有辩证分析不同时期宪法审查制的历史背景和具体内容,我们才能看到波兰宪法审查的局限,看到宪法审查制度变迁中的继承和发展。</w:t>
      </w:r>
    </w:p>
    <w:p>
      <w:pPr>
        <w:pStyle w:val="3"/>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9"/>
        <w:rPr>
          <w:rFonts w:hint="eastAsia"/>
        </w:rPr>
      </w:pPr>
    </w:p>
    <w:p>
      <w:pPr>
        <w:pStyle w:val="3"/>
        <w:jc w:val="center"/>
        <w:rPr>
          <w:rFonts w:hint="eastAsia" w:ascii="黑体" w:hAnsi="黑体" w:eastAsia="黑体" w:cs="黑体"/>
          <w:b/>
          <w:bCs/>
          <w:sz w:val="28"/>
          <w:szCs w:val="28"/>
        </w:rPr>
      </w:pPr>
      <w:r>
        <w:rPr>
          <w:rFonts w:hint="eastAsia" w:ascii="黑体" w:hAnsi="黑体" w:eastAsia="黑体" w:cs="黑体"/>
          <w:b/>
          <w:bCs/>
          <w:sz w:val="28"/>
          <w:szCs w:val="28"/>
        </w:rPr>
        <w:t>参考文献</w:t>
      </w:r>
    </w:p>
    <w:p>
      <w:pPr>
        <w:pStyle w:val="3"/>
        <w:keepNext w:val="0"/>
        <w:keepLines w:val="0"/>
        <w:pageBreakBefore w:val="0"/>
        <w:widowControl w:val="0"/>
        <w:kinsoku/>
        <w:wordWrap/>
        <w:overflowPunct/>
        <w:topLinePunct w:val="0"/>
        <w:autoSpaceDE/>
        <w:autoSpaceDN/>
        <w:bidi w:val="0"/>
        <w:adjustRightInd/>
        <w:snapToGrid/>
        <w:spacing w:line="240"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 xml:space="preserve"> </w:t>
      </w:r>
      <w:r>
        <w:rPr>
          <w:rFonts w:hint="default" w:ascii="Times New Roman" w:hAnsi="Times New Roman" w:cs="Times New Roman"/>
        </w:rPr>
        <w:t>Jerzy Mackow. Die Konstruktion politischer Stabilit?t-Polen und Ru? land in den Umbrǜchen der achtziger</w:t>
      </w:r>
      <w:r>
        <w:rPr>
          <w:rFonts w:hint="default" w:ascii="Times New Roman" w:hAnsi="Times New Roman" w:cs="Times New Roman"/>
          <w:lang w:val="en-US" w:eastAsia="zh-CN"/>
        </w:rPr>
        <w:t xml:space="preserve"> </w:t>
      </w:r>
      <w:r>
        <w:rPr>
          <w:rFonts w:hint="default" w:ascii="Times New Roman" w:hAnsi="Times New Roman" w:cs="Times New Roman"/>
        </w:rPr>
        <w:t>und neunziger Jahre [M]. Baden-Baden(Germany):</w:t>
      </w:r>
      <w:r>
        <w:rPr>
          <w:rFonts w:hint="eastAsia" w:ascii="Times New Roman" w:hAnsi="Times New Roman" w:cs="Times New Roman"/>
          <w:lang w:val="en-US" w:eastAsia="zh-CN"/>
        </w:rPr>
        <w:t xml:space="preserve"> </w:t>
      </w:r>
      <w:r>
        <w:rPr>
          <w:rFonts w:hint="default" w:ascii="Times New Roman" w:hAnsi="Times New Roman" w:cs="Times New Roman"/>
        </w:rPr>
        <w:t>Nomos Verlagsgesellschaft, 1998: 137.</w:t>
      </w:r>
    </w:p>
    <w:p>
      <w:pPr>
        <w:pStyle w:val="3"/>
        <w:keepNext w:val="0"/>
        <w:keepLines w:val="0"/>
        <w:pageBreakBefore w:val="0"/>
        <w:widowControl w:val="0"/>
        <w:kinsoku/>
        <w:wordWrap/>
        <w:overflowPunct/>
        <w:topLinePunct w:val="0"/>
        <w:autoSpaceDE/>
        <w:autoSpaceDN/>
        <w:bidi w:val="0"/>
        <w:adjustRightInd/>
        <w:snapToGrid/>
        <w:spacing w:line="240" w:lineRule="auto"/>
        <w:ind w:left="420" w:leftChars="0" w:right="0" w:rightChars="0" w:hanging="420" w:hangingChars="200"/>
        <w:jc w:val="both"/>
        <w:textAlignment w:val="auto"/>
        <w:outlineLvl w:val="9"/>
        <w:rPr>
          <w:rFonts w:hint="eastAsia"/>
        </w:rPr>
      </w:pPr>
      <w:r>
        <w:rPr>
          <w:rFonts w:hint="default" w:ascii="Times New Roman" w:hAnsi="Times New Roman" w:cs="Times New Roman"/>
        </w:rPr>
        <w:t>[2]</w:t>
      </w:r>
      <w:r>
        <w:rPr>
          <w:rFonts w:hint="eastAsia" w:ascii="Times New Roman" w:hAnsi="Times New Roman" w:cs="Times New Roman"/>
          <w:lang w:val="en-US" w:eastAsia="zh-CN"/>
        </w:rPr>
        <w:t xml:space="preserve">  </w:t>
      </w:r>
      <w:r>
        <w:rPr>
          <w:rFonts w:hint="eastAsia"/>
        </w:rPr>
        <w:t>姜士林.世界宪法大全(上卷)[M].北京:中国广播电视出版社,1989.</w:t>
      </w:r>
    </w:p>
    <w:p>
      <w:pPr>
        <w:rPr>
          <w:rFonts w:hint="eastAsia"/>
        </w:rPr>
      </w:pPr>
      <w:r>
        <w:rPr>
          <w:rFonts w:hint="default" w:ascii="Times New Roman" w:hAnsi="Times New Roman" w:cs="Times New Roman"/>
        </w:rPr>
        <w:t>[3]</w:t>
      </w:r>
      <w:r>
        <w:rPr>
          <w:rFonts w:hint="eastAsia" w:ascii="Times New Roman" w:hAnsi="Times New Roman" w:cs="Times New Roman"/>
          <w:lang w:val="en-US" w:eastAsia="zh-CN"/>
        </w:rPr>
        <w:t xml:space="preserve">  </w:t>
      </w:r>
      <w:r>
        <w:rPr>
          <w:rFonts w:hint="eastAsia"/>
        </w:rPr>
        <w:t>1952年宪法文本(英文版)[Z/OL].http://www.oefre.unibe.ch /law/icl/pl01000_ .html;(日)木下太郎.九国宪法选介[M].康树华,译.北京:群众出版社,1981: 179-203.</w:t>
      </w:r>
    </w:p>
    <w:p>
      <w:pPr>
        <w:pStyle w:val="3"/>
        <w:keepNext w:val="0"/>
        <w:keepLines w:val="0"/>
        <w:pageBreakBefore w:val="0"/>
        <w:widowControl w:val="0"/>
        <w:kinsoku/>
        <w:wordWrap/>
        <w:overflowPunct/>
        <w:topLinePunct w:val="0"/>
        <w:autoSpaceDE/>
        <w:autoSpaceDN/>
        <w:bidi w:val="0"/>
        <w:adjustRightInd/>
        <w:snapToGrid/>
        <w:spacing w:line="240" w:lineRule="auto"/>
        <w:ind w:left="420" w:leftChars="0" w:right="0" w:rightChars="0" w:hanging="420" w:hangingChars="200"/>
        <w:jc w:val="both"/>
        <w:textAlignment w:val="auto"/>
        <w:outlineLvl w:val="9"/>
        <w:rPr>
          <w:rFonts w:hint="eastAsia"/>
        </w:rPr>
      </w:pPr>
      <w:r>
        <w:rPr>
          <w:rFonts w:hint="default" w:ascii="Times New Roman" w:hAnsi="Times New Roman" w:cs="Times New Roman"/>
        </w:rPr>
        <w:t>[4]</w:t>
      </w:r>
      <w:r>
        <w:rPr>
          <w:rFonts w:hint="eastAsia" w:ascii="Times New Roman" w:hAnsi="Times New Roman" w:cs="Times New Roman"/>
          <w:lang w:val="en-US" w:eastAsia="zh-CN"/>
        </w:rPr>
        <w:t xml:space="preserve">  </w:t>
      </w:r>
      <w:r>
        <w:rPr>
          <w:rFonts w:hint="eastAsia"/>
        </w:rPr>
        <w:t>要了解宪法裁判所权能的简要介绍可以浏览波兰《宪法裁判所》[Z/OL].http://www. trybunal.gov.pl/eng /index.htm.</w:t>
      </w:r>
    </w:p>
    <w:p>
      <w:pPr>
        <w:pStyle w:val="3"/>
        <w:keepNext w:val="0"/>
        <w:keepLines w:val="0"/>
        <w:pageBreakBefore w:val="0"/>
        <w:widowControl w:val="0"/>
        <w:kinsoku/>
        <w:wordWrap/>
        <w:overflowPunct/>
        <w:topLinePunct w:val="0"/>
        <w:autoSpaceDE/>
        <w:autoSpaceDN/>
        <w:bidi w:val="0"/>
        <w:adjustRightInd/>
        <w:snapToGrid/>
        <w:spacing w:line="240" w:lineRule="auto"/>
        <w:ind w:left="420" w:leftChars="0" w:right="0" w:rightChars="0" w:hanging="420" w:hangingChars="200"/>
        <w:jc w:val="both"/>
        <w:textAlignment w:val="auto"/>
        <w:outlineLvl w:val="9"/>
        <w:rPr>
          <w:rFonts w:hint="eastAsia"/>
        </w:rPr>
      </w:pPr>
      <w:r>
        <w:rPr>
          <w:rFonts w:hint="eastAsia" w:ascii="Times New Roman" w:hAnsi="Times New Roman" w:cs="Times New Roman"/>
        </w:rPr>
        <w:t>[5]</w:t>
      </w:r>
      <w:r>
        <w:rPr>
          <w:rFonts w:hint="eastAsia" w:ascii="Times New Roman" w:hAnsi="Times New Roman" w:cs="Times New Roman"/>
          <w:lang w:val="en-US" w:eastAsia="zh-CN"/>
        </w:rPr>
        <w:t xml:space="preserve">  </w:t>
      </w:r>
      <w:r>
        <w:rPr>
          <w:rFonts w:hint="eastAsia"/>
        </w:rPr>
        <w:t>实现社会正义(英文版) [Z/OL]. http://www.trybunal.gov.pl/eng /index.htm.</w:t>
      </w:r>
    </w:p>
    <w:p>
      <w:pPr>
        <w:pStyle w:val="3"/>
        <w:keepNext w:val="0"/>
        <w:keepLines w:val="0"/>
        <w:pageBreakBefore w:val="0"/>
        <w:widowControl w:val="0"/>
        <w:kinsoku/>
        <w:wordWrap/>
        <w:overflowPunct/>
        <w:topLinePunct w:val="0"/>
        <w:autoSpaceDE/>
        <w:autoSpaceDN/>
        <w:bidi w:val="0"/>
        <w:adjustRightInd/>
        <w:snapToGrid/>
        <w:spacing w:line="240" w:lineRule="auto"/>
        <w:ind w:left="420" w:leftChars="0" w:right="0" w:rightChars="0" w:hanging="420" w:hangingChars="200"/>
        <w:jc w:val="both"/>
        <w:textAlignment w:val="auto"/>
        <w:outlineLvl w:val="9"/>
        <w:rPr>
          <w:rFonts w:hint="default" w:ascii="Times New Roman" w:hAnsi="Times New Roman" w:cs="Times New Roman"/>
        </w:rPr>
      </w:pPr>
      <w:r>
        <w:rPr>
          <w:rFonts w:hint="eastAsia" w:ascii="Times New Roman" w:hAnsi="Times New Roman" w:cs="Times New Roman"/>
        </w:rPr>
        <w:t>[6]</w:t>
      </w:r>
      <w:r>
        <w:rPr>
          <w:rFonts w:hint="eastAsia" w:ascii="Times New Roman" w:hAnsi="Times New Roman" w:cs="Times New Roman"/>
          <w:lang w:val="en-US" w:eastAsia="zh-CN"/>
        </w:rPr>
        <w:t xml:space="preserve"> </w:t>
      </w:r>
      <w:r>
        <w:rPr>
          <w:rFonts w:hint="default" w:ascii="Times New Roman" w:hAnsi="Times New Roman" w:cs="Times New Roman"/>
        </w:rPr>
        <w:t>Leszek Garlicki. Constitutional Review and Legislation: the Polish constitutional tribunal, in Christine</w:t>
      </w:r>
      <w:r>
        <w:rPr>
          <w:rFonts w:hint="default" w:ascii="Times New Roman" w:hAnsi="Times New Roman" w:cs="Times New Roman"/>
          <w:lang w:val="en-US" w:eastAsia="zh-CN"/>
        </w:rPr>
        <w:t xml:space="preserve"> </w:t>
      </w:r>
      <w:r>
        <w:rPr>
          <w:rFonts w:hint="default" w:ascii="Times New Roman" w:hAnsi="Times New Roman" w:cs="Times New Roman"/>
        </w:rPr>
        <w:t>Landfried(ed.),</w:t>
      </w:r>
      <w:r>
        <w:rPr>
          <w:rFonts w:hint="eastAsia" w:ascii="Times New Roman" w:hAnsi="Times New Roman" w:cs="Times New Roman"/>
          <w:lang w:val="en-US" w:eastAsia="zh-CN"/>
        </w:rPr>
        <w:t xml:space="preserve"> </w:t>
      </w:r>
      <w:r>
        <w:rPr>
          <w:rFonts w:hint="default" w:ascii="Times New Roman" w:hAnsi="Times New Roman" w:cs="Times New Roman"/>
        </w:rPr>
        <w:t>Constitutional review and legislation-an international comparison [M ]. Baden-Baden(Germany): Nomos Verlagsgesellschaft, 1988: 201-203.</w:t>
      </w:r>
    </w:p>
    <w:p>
      <w:pPr>
        <w:pStyle w:val="3"/>
        <w:keepNext w:val="0"/>
        <w:keepLines w:val="0"/>
        <w:pageBreakBefore w:val="0"/>
        <w:widowControl w:val="0"/>
        <w:kinsoku/>
        <w:wordWrap/>
        <w:overflowPunct/>
        <w:topLinePunct w:val="0"/>
        <w:autoSpaceDE/>
        <w:autoSpaceDN/>
        <w:bidi w:val="0"/>
        <w:adjustRightInd/>
        <w:snapToGrid/>
        <w:spacing w:line="240"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[7]</w:t>
      </w:r>
      <w:r>
        <w:rPr>
          <w:rFonts w:hint="eastAsia" w:ascii="Times New Roman" w:hAnsi="Times New Roman" w:cs="Times New Roman"/>
          <w:lang w:val="en-US" w:eastAsia="zh-CN"/>
        </w:rPr>
        <w:t xml:space="preserve"> </w:t>
      </w:r>
      <w:r>
        <w:rPr>
          <w:rFonts w:hint="default" w:ascii="Times New Roman" w:hAnsi="Times New Roman" w:cs="Times New Roman"/>
        </w:rPr>
        <w:t>Jochen Frowein. Thilo Marauhn(Hrsg.),</w:t>
      </w:r>
      <w:r>
        <w:rPr>
          <w:rFonts w:hint="eastAsia" w:ascii="Times New Roman" w:hAnsi="Times New Roman" w:cs="Times New Roman"/>
          <w:lang w:val="en-US" w:eastAsia="zh-CN"/>
        </w:rPr>
        <w:t xml:space="preserve"> </w:t>
      </w:r>
      <w:r>
        <w:rPr>
          <w:rFonts w:hint="default" w:ascii="Times New Roman" w:hAnsi="Times New Roman" w:cs="Times New Roman"/>
        </w:rPr>
        <w:t>Grundfra-gen der Verfassungsgerichtsbarkeit in Mittelund os-teuropa[M]. Berlin(Germany): Springer, 1998: 66.</w:t>
      </w:r>
    </w:p>
    <w:p>
      <w:pPr>
        <w:pStyle w:val="3"/>
        <w:rPr>
          <w:rFonts w:hint="eastAsia"/>
        </w:rPr>
      </w:pPr>
    </w:p>
    <w:p>
      <w:pPr>
        <w:pStyle w:val="3"/>
        <w:rPr>
          <w:rFonts w:hint="eastAsia"/>
        </w:rPr>
      </w:pPr>
    </w:p>
    <w:p>
      <w:pPr>
        <w:pStyle w:val="3"/>
        <w:jc w:val="center"/>
        <w:rPr>
          <w:rFonts w:hint="default" w:ascii="Times New Roman" w:hAnsi="Times New Roman" w:cs="Times New Roman"/>
          <w:b/>
          <w:bCs/>
          <w:sz w:val="24"/>
          <w:szCs w:val="24"/>
        </w:rPr>
      </w:pPr>
      <w:r>
        <w:rPr>
          <w:rFonts w:hint="default" w:ascii="Times New Roman" w:hAnsi="Times New Roman" w:cs="Times New Roman"/>
          <w:b/>
          <w:bCs/>
          <w:sz w:val="24"/>
          <w:szCs w:val="24"/>
        </w:rPr>
        <w:t>The Transformation of Poland Constitutional Review System</w:t>
      </w:r>
    </w:p>
    <w:p>
      <w:pPr>
        <w:pStyle w:val="3"/>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rPr>
        <w:t>—— the Text Analysis of Poland Constitutional Tribunal Act</w:t>
      </w:r>
    </w:p>
    <w:p>
      <w:pPr>
        <w:pStyle w:val="3"/>
        <w:jc w:val="center"/>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cs="Times New Roman"/>
          <w:sz w:val="20"/>
          <w:szCs w:val="20"/>
        </w:rPr>
      </w:pPr>
      <w:r>
        <w:rPr>
          <w:rFonts w:hint="default" w:ascii="Times New Roman" w:hAnsi="Times New Roman" w:cs="Times New Roman"/>
          <w:b/>
          <w:bCs/>
          <w:sz w:val="20"/>
          <w:szCs w:val="20"/>
        </w:rPr>
        <w:t>Abstract</w:t>
      </w:r>
      <w:r>
        <w:rPr>
          <w:rFonts w:hint="default" w:ascii="Times New Roman" w:hAnsi="Times New Roman" w:cs="Times New Roman"/>
          <w:b/>
          <w:bCs/>
          <w:sz w:val="20"/>
          <w:szCs w:val="20"/>
          <w:lang w:eastAsia="zh-CN"/>
        </w:rPr>
        <w:t>：</w:t>
      </w:r>
      <w:r>
        <w:rPr>
          <w:rFonts w:hint="default" w:ascii="Times New Roman" w:hAnsi="Times New Roman" w:cs="Times New Roman"/>
          <w:b/>
          <w:bCs/>
          <w:sz w:val="20"/>
          <w:szCs w:val="20"/>
          <w:lang w:val="en-US" w:eastAsia="zh-CN"/>
        </w:rPr>
        <w:t xml:space="preserve"> </w:t>
      </w:r>
      <w:r>
        <w:rPr>
          <w:rFonts w:hint="default" w:ascii="Times New Roman" w:hAnsi="Times New Roman" w:cs="Times New Roman"/>
          <w:sz w:val="20"/>
          <w:szCs w:val="20"/>
        </w:rPr>
        <w:t>Poland amended the Constitution in 1982 and issued Constitutional Tribunal Act in</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1985. In this way, poland introduced the constitutional review system. The constitutional review</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system was remained in 1989, although the social system changed. In 1997 Poland has drawn up the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contemporary constitution, which laid the foundation of the constitutional review system. This article</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discusses the transformation of the constitutional review system in Poland through analysis of the two</w:t>
      </w:r>
      <w:r>
        <w:rPr>
          <w:rFonts w:hint="default" w:ascii="Times New Roman" w:hAnsi="Times New Roman" w:cs="Times New Roman"/>
          <w:sz w:val="20"/>
          <w:szCs w:val="20"/>
          <w:lang w:val="en-US" w:eastAsia="zh-CN"/>
        </w:rPr>
        <w:t xml:space="preserve"> </w:t>
      </w:r>
      <w:r>
        <w:rPr>
          <w:rFonts w:hint="default" w:ascii="Times New Roman" w:hAnsi="Times New Roman" w:cs="Times New Roman"/>
          <w:sz w:val="20"/>
          <w:szCs w:val="20"/>
        </w:rPr>
        <w:t>acts about constitutional tribunal.</w:t>
      </w:r>
    </w:p>
    <w:p>
      <w:pPr>
        <w:pStyle w:val="3"/>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cs="Times New Roman"/>
          <w:sz w:val="20"/>
          <w:szCs w:val="20"/>
        </w:rPr>
      </w:pPr>
      <w:r>
        <w:rPr>
          <w:rFonts w:hint="default" w:ascii="Times New Roman" w:hAnsi="Times New Roman" w:cs="Times New Roman"/>
          <w:b/>
          <w:bCs/>
          <w:sz w:val="20"/>
          <w:szCs w:val="20"/>
        </w:rPr>
        <w:t>Key words</w:t>
      </w:r>
      <w:r>
        <w:rPr>
          <w:rFonts w:hint="default" w:ascii="Times New Roman" w:hAnsi="Times New Roman" w:cs="Times New Roman"/>
          <w:b/>
          <w:bCs/>
          <w:sz w:val="20"/>
          <w:szCs w:val="20"/>
          <w:lang w:eastAsia="zh-CN"/>
        </w:rPr>
        <w:t>：</w:t>
      </w:r>
      <w:r>
        <w:rPr>
          <w:rFonts w:hint="default" w:ascii="Times New Roman" w:hAnsi="Times New Roman" w:cs="Times New Roman"/>
          <w:sz w:val="20"/>
          <w:szCs w:val="20"/>
        </w:rPr>
        <w:t>constitutional review; Constitutional Tribunal Act; constitutional tribunal</w:t>
      </w:r>
    </w:p>
    <w:p>
      <w:pPr>
        <w:pStyle w:val="3"/>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cs="Times New Roman"/>
          <w:sz w:val="20"/>
          <w:szCs w:val="20"/>
        </w:rPr>
      </w:pPr>
    </w:p>
    <w:p>
      <w:pPr>
        <w:pStyle w:val="3"/>
        <w:keepNext w:val="0"/>
        <w:keepLines w:val="0"/>
        <w:pageBreakBefore w:val="0"/>
        <w:widowControl w:val="0"/>
        <w:kinsoku/>
        <w:wordWrap/>
        <w:overflowPunct/>
        <w:topLinePunct w:val="0"/>
        <w:autoSpaceDE/>
        <w:autoSpaceDN/>
        <w:bidi w:val="0"/>
        <w:adjustRightInd/>
        <w:snapToGrid/>
        <w:spacing w:line="240" w:lineRule="auto"/>
        <w:ind w:right="0" w:rightChars="0"/>
        <w:jc w:val="right"/>
        <w:textAlignment w:val="auto"/>
        <w:outlineLvl w:val="9"/>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240" w:lineRule="auto"/>
        <w:ind w:right="0" w:rightChars="0"/>
        <w:jc w:val="right"/>
        <w:textAlignment w:val="auto"/>
        <w:outlineLvl w:val="9"/>
        <w:rPr>
          <w:rFonts w:hint="eastAsia" w:ascii="Times New Roman" w:hAnsi="Times New Roman" w:cs="Times New Roman"/>
          <w:sz w:val="21"/>
          <w:szCs w:val="21"/>
          <w:lang w:val="en-US" w:eastAsia="zh-CN"/>
        </w:rPr>
      </w:pPr>
      <w:r>
        <w:rPr>
          <w:rFonts w:hint="eastAsia" w:ascii="Times New Roman" w:hAnsi="Times New Roman" w:cs="Times New Roman"/>
          <w:sz w:val="20"/>
          <w:szCs w:val="20"/>
          <w:lang w:val="en-US" w:eastAsia="zh-CN"/>
        </w:rPr>
        <w:t xml:space="preserve">                                            </w:t>
      </w:r>
      <w:r>
        <w:rPr>
          <w:rFonts w:hint="eastAsia" w:ascii="Times New Roman" w:hAnsi="Times New Roman" w:cs="Times New Roman"/>
          <w:sz w:val="21"/>
          <w:szCs w:val="21"/>
          <w:lang w:val="en-US" w:eastAsia="zh-CN"/>
        </w:rPr>
        <w:t xml:space="preserve"> （责任编辑： 钟彩清）</w:t>
      </w:r>
    </w:p>
    <w:p>
      <w:pPr>
        <w:pStyle w:val="3"/>
        <w:jc w:val="right"/>
        <w:rPr>
          <w:rFonts w:hint="default" w:ascii="Times New Roman" w:hAnsi="Times New Roman" w:cs="Times New Roman"/>
        </w:rPr>
      </w:pPr>
    </w:p>
    <w:p>
      <w:pPr>
        <w:pStyle w:val="3"/>
        <w:jc w:val="right"/>
        <w:rPr>
          <w:rFonts w:hint="default" w:ascii="Times New Roman" w:hAnsi="Times New Roman" w:cs="Times New Roman"/>
        </w:rPr>
      </w:pPr>
    </w:p>
    <w:p>
      <w:pPr>
        <w:pStyle w:val="3"/>
        <w:jc w:val="right"/>
        <w:rPr>
          <w:rFonts w:hint="default" w:ascii="Times New Roman" w:hAnsi="Times New Roman" w:cs="Times New Roman"/>
        </w:rPr>
      </w:pPr>
    </w:p>
    <w:p>
      <w:pPr>
        <w:pStyle w:val="3"/>
        <w:jc w:val="both"/>
        <w:rPr>
          <w:rFonts w:hint="eastAsia" w:ascii="黑体" w:hAnsi="黑体" w:eastAsia="黑体" w:cs="宋体"/>
          <w:b/>
          <w:sz w:val="32"/>
          <w:szCs w:val="32"/>
        </w:rPr>
      </w:pPr>
    </w:p>
    <w:p>
      <w:pPr>
        <w:pStyle w:val="3"/>
        <w:jc w:val="center"/>
        <w:rPr>
          <w:rFonts w:hint="eastAsia" w:ascii="黑体" w:hAnsi="黑体" w:eastAsia="黑体" w:cs="宋体"/>
          <w:b/>
          <w:sz w:val="32"/>
          <w:szCs w:val="32"/>
        </w:rPr>
      </w:pPr>
      <w:r>
        <w:rPr>
          <w:rFonts w:hint="eastAsia" w:ascii="黑体" w:hAnsi="黑体" w:eastAsia="黑体" w:cs="宋体"/>
          <w:b/>
          <w:sz w:val="32"/>
          <w:szCs w:val="32"/>
        </w:rPr>
        <w:t>比较视野中的中日侦查模式</w:t>
      </w:r>
    </w:p>
    <w:p>
      <w:pPr>
        <w:pStyle w:val="3"/>
        <w:jc w:val="center"/>
        <w:rPr>
          <w:rFonts w:hint="eastAsia" w:ascii="黑体" w:hAnsi="黑体" w:eastAsia="黑体" w:cs="宋体"/>
          <w:b/>
          <w:sz w:val="21"/>
          <w:szCs w:val="21"/>
        </w:rPr>
      </w:pPr>
    </w:p>
    <w:p>
      <w:pPr>
        <w:pStyle w:val="3"/>
        <w:jc w:val="center"/>
        <w:rPr>
          <w:rStyle w:val="12"/>
          <w:rFonts w:hAnsi="宋体" w:cs="宋体"/>
        </w:rPr>
      </w:pPr>
      <w:r>
        <w:rPr>
          <w:rFonts w:hint="eastAsia" w:hAnsi="宋体" w:cs="宋体"/>
        </w:rPr>
        <w:t>孙青平</w:t>
      </w:r>
      <w:r>
        <w:rPr>
          <w:rStyle w:val="12"/>
          <w:rFonts w:hAnsi="宋体" w:cs="宋体"/>
        </w:rPr>
        <w:footnoteReference w:id="5" w:customMarkFollows="1"/>
        <w:sym w:font="Symbol" w:char="F02A"/>
      </w:r>
    </w:p>
    <w:p>
      <w:pPr>
        <w:pStyle w:val="3"/>
        <w:jc w:val="center"/>
        <w:rPr>
          <w:rStyle w:val="12"/>
          <w:rFonts w:hint="eastAsia" w:hAnsi="宋体" w:cs="宋体"/>
          <w:sz w:val="21"/>
          <w:szCs w:val="21"/>
        </w:rPr>
      </w:pPr>
    </w:p>
    <w:p>
      <w:pPr>
        <w:pStyle w:val="3"/>
        <w:rPr>
          <w:rFonts w:hint="eastAsia" w:ascii="楷体" w:hAnsi="楷体" w:eastAsia="楷体" w:cs="宋体"/>
          <w:sz w:val="21"/>
          <w:szCs w:val="21"/>
        </w:rPr>
      </w:pPr>
      <w:r>
        <w:rPr>
          <w:rFonts w:hint="eastAsia" w:hAnsi="宋体" w:cs="宋体"/>
          <w:b/>
          <w:sz w:val="21"/>
          <w:szCs w:val="21"/>
        </w:rPr>
        <w:t>摘 要：</w:t>
      </w:r>
      <w:r>
        <w:rPr>
          <w:rFonts w:hint="eastAsia" w:ascii="楷体" w:hAnsi="楷体" w:eastAsia="楷体" w:cs="宋体"/>
          <w:sz w:val="21"/>
          <w:szCs w:val="21"/>
        </w:rPr>
        <w:t>刑事诉讼中的侦查模式是备受人们关注的热点之一。与日本相比, 我国刑事诉讼侦查阶段的结构设置存在诸多弊端。这些弊端的存在严重影响了司法的公正性, 已成为阻碍我国刑事司法改革的根本因素。重新设置合理的侦查模式才是未来改革的方向。</w:t>
      </w:r>
    </w:p>
    <w:p>
      <w:pPr>
        <w:pStyle w:val="3"/>
        <w:spacing w:line="288" w:lineRule="auto"/>
        <w:rPr>
          <w:rFonts w:hint="eastAsia" w:ascii="楷体" w:hAnsi="楷体" w:eastAsia="楷体" w:cs="宋体"/>
        </w:rPr>
      </w:pPr>
      <w:r>
        <w:rPr>
          <w:rFonts w:hint="eastAsia" w:hAnsi="宋体" w:cs="宋体"/>
          <w:b/>
          <w:sz w:val="21"/>
          <w:szCs w:val="21"/>
        </w:rPr>
        <w:t>关键词：</w:t>
      </w:r>
      <w:r>
        <w:rPr>
          <w:rFonts w:hint="eastAsia" w:ascii="楷体" w:hAnsi="楷体" w:eastAsia="楷体" w:cs="宋体"/>
          <w:sz w:val="21"/>
          <w:szCs w:val="21"/>
        </w:rPr>
        <w:t>侦</w:t>
      </w:r>
      <w:r>
        <w:rPr>
          <w:rFonts w:hint="eastAsia" w:ascii="楷体" w:hAnsi="楷体" w:eastAsia="楷体" w:cs="宋体"/>
        </w:rPr>
        <w:t>查结构　强制措施　羁押　沉默权</w:t>
      </w:r>
    </w:p>
    <w:p>
      <w:pPr>
        <w:pStyle w:val="3"/>
        <w:rPr>
          <w:rFonts w:hint="eastAsia" w:hAnsi="宋体" w:cs="宋体"/>
        </w:rPr>
      </w:pPr>
    </w:p>
    <w:p>
      <w:pPr>
        <w:pStyle w:val="3"/>
        <w:spacing w:line="288" w:lineRule="auto"/>
        <w:ind w:firstLine="420"/>
        <w:rPr>
          <w:rFonts w:hint="eastAsia" w:hAnsi="宋体" w:cs="宋体"/>
        </w:rPr>
      </w:pPr>
      <w:r>
        <w:rPr>
          <w:rFonts w:hint="eastAsia" w:hAnsi="宋体" w:cs="宋体"/>
        </w:rPr>
        <w:t>侦查模式又称侦查结构, 是侦查权利的分配、内容、运作方式, 对侦查权力的制约机制以及犯罪嫌疑人及其律师在侦查中的地位、权利等制度的总称。</w:t>
      </w:r>
      <w:r>
        <w:rPr>
          <w:rStyle w:val="12"/>
          <w:rFonts w:hAnsi="宋体" w:cs="宋体"/>
        </w:rPr>
        <w:footnoteReference w:id="6" w:customMarkFollows="1"/>
        <w:sym w:font="Symbol" w:char="F05B"/>
      </w:r>
      <w:r>
        <w:rPr>
          <w:rStyle w:val="12"/>
          <w:rFonts w:hAnsi="宋体" w:cs="宋体"/>
        </w:rPr>
        <w:sym w:font="Symbol" w:char="F031"/>
      </w:r>
      <w:r>
        <w:rPr>
          <w:rStyle w:val="12"/>
          <w:rFonts w:hAnsi="宋体" w:cs="宋体"/>
        </w:rPr>
        <w:sym w:font="Symbol" w:char="F05D"/>
      </w:r>
      <w:r>
        <w:rPr>
          <w:rFonts w:hint="eastAsia" w:hAnsi="宋体" w:cs="宋体"/>
        </w:rPr>
        <w:t>由于侦查作为有权机关代表国家针对个人进行的追诉活动, 往往带有强制措施, 面临着限制和剥夺公民基本权益, 很可能触及到公民的人身权利和财产权利, 同时也存在追诉机构和官员滥用国家权力的危险。因此, 如何建构一种旨在约束追诉机构权利的机制, 确保被追诉人拥有一些最基本的防御权,就成了现代侦查制度的主要课题。</w:t>
      </w:r>
    </w:p>
    <w:p>
      <w:pPr>
        <w:pStyle w:val="3"/>
        <w:spacing w:line="288" w:lineRule="auto"/>
        <w:ind w:firstLine="420"/>
        <w:rPr>
          <w:rFonts w:hint="eastAsia" w:hAnsi="宋体" w:cs="宋体"/>
        </w:rPr>
      </w:pPr>
    </w:p>
    <w:p>
      <w:pPr>
        <w:pStyle w:val="3"/>
        <w:numPr>
          <w:ilvl w:val="0"/>
          <w:numId w:val="0"/>
        </w:numPr>
        <w:spacing w:line="288" w:lineRule="auto"/>
        <w:jc w:val="center"/>
        <w:rPr>
          <w:rFonts w:hint="eastAsia" w:ascii="黑体" w:hAnsi="黑体" w:eastAsia="黑体" w:cs="宋体"/>
          <w:b/>
          <w:sz w:val="21"/>
          <w:szCs w:val="21"/>
        </w:rPr>
      </w:pPr>
      <w:r>
        <w:rPr>
          <w:rFonts w:hint="eastAsia" w:ascii="黑体" w:hAnsi="黑体" w:eastAsia="黑体" w:cs="宋体"/>
          <w:b/>
          <w:sz w:val="28"/>
          <w:szCs w:val="28"/>
          <w:lang w:val="en-US" w:eastAsia="zh-CN"/>
        </w:rPr>
        <w:t>一、</w:t>
      </w:r>
      <w:r>
        <w:rPr>
          <w:rFonts w:hint="eastAsia" w:ascii="黑体" w:hAnsi="黑体" w:eastAsia="黑体" w:cs="宋体"/>
          <w:b/>
          <w:sz w:val="28"/>
          <w:szCs w:val="28"/>
        </w:rPr>
        <w:t>中日侦查模式比较</w:t>
      </w:r>
    </w:p>
    <w:p>
      <w:pPr>
        <w:pStyle w:val="3"/>
        <w:spacing w:line="288" w:lineRule="auto"/>
        <w:rPr>
          <w:rFonts w:hint="eastAsia" w:hAnsi="宋体" w:cs="宋体"/>
        </w:rPr>
      </w:pPr>
      <w:r>
        <w:rPr>
          <w:rFonts w:hint="eastAsia" w:hAnsi="宋体" w:cs="宋体"/>
        </w:rPr>
        <w:t>　　当今各国, 由于文化传统和价值观念的差异, 在诉讼模式上也有所不同, 笔者将从以下四个方面对中日刑事诉讼中的侦查模式进行比较分析, 同时结合当前我国的侦查实践按照一定的价值标准揭示我国刑事侦查模式存在的问题, 以推进中国刑事司法改革的深入进行。</w:t>
      </w:r>
    </w:p>
    <w:p>
      <w:pPr>
        <w:pStyle w:val="3"/>
        <w:spacing w:line="288" w:lineRule="auto"/>
        <w:rPr>
          <w:rFonts w:hint="eastAsia" w:hAnsi="宋体" w:cs="宋体"/>
          <w:b/>
          <w:sz w:val="24"/>
          <w:szCs w:val="24"/>
        </w:rPr>
      </w:pPr>
      <w:r>
        <w:rPr>
          <w:rFonts w:hint="eastAsia" w:hAnsi="宋体" w:cs="宋体"/>
          <w:b/>
          <w:sz w:val="24"/>
          <w:szCs w:val="24"/>
        </w:rPr>
        <w:t>(一)侦查权的分配</w:t>
      </w:r>
    </w:p>
    <w:p>
      <w:pPr>
        <w:pStyle w:val="3"/>
        <w:spacing w:line="288" w:lineRule="auto"/>
        <w:rPr>
          <w:rFonts w:hint="eastAsia" w:hAnsi="宋体" w:cs="宋体"/>
        </w:rPr>
      </w:pPr>
      <w:r>
        <w:rPr>
          <w:rFonts w:hint="eastAsia" w:hAnsi="宋体" w:cs="宋体"/>
        </w:rPr>
        <w:t>　　日本刑事诉讼法将侦查犯罪的权力赋予了检察官、检查事务官及司法警察。检察官和司法警察在侦查方面无明确分工, 原则上检察官与司法警察在侦查犯罪上应当相互协助, 但是由于侦查的目的之一是为公诉做准备, 而提起和维持公诉的权限属于检察官, 因此需要检察官从公诉的角度对于司法警察的侦查予以指示和指挥。</w:t>
      </w:r>
      <w:r>
        <w:rPr>
          <w:rStyle w:val="12"/>
          <w:rFonts w:hAnsi="宋体" w:cs="宋体"/>
        </w:rPr>
        <w:footnoteReference w:id="7" w:customMarkFollows="1"/>
        <w:sym w:font="Symbol" w:char="F05B"/>
      </w:r>
      <w:r>
        <w:rPr>
          <w:rStyle w:val="12"/>
          <w:rFonts w:hAnsi="宋体" w:cs="宋体"/>
        </w:rPr>
        <w:sym w:font="Symbol" w:char="F032"/>
      </w:r>
      <w:r>
        <w:rPr>
          <w:rStyle w:val="12"/>
          <w:rFonts w:hAnsi="宋体" w:cs="宋体"/>
        </w:rPr>
        <w:sym w:font="Symbol" w:char="F05D"/>
      </w:r>
      <w:r>
        <w:rPr>
          <w:rFonts w:hint="eastAsia" w:hAnsi="宋体" w:cs="宋体"/>
        </w:rPr>
        <w:t>根据日本《刑事诉讼法》规定:检察官在其辖区内可以就侦查对全体司法警察作出一般指示, 在具体案件的侦查上, 检察官可以对协助侦查的全体司法警察进行一般指挥。此外, 检察官在自行侦查上有必要时, 可以就具体案件对个别司法警察进行具体指挥, 对于不服从指示、指挥的检察官可以向有惩戒罢免权的机关提出惩戒或罢免的追诉。</w:t>
      </w:r>
    </w:p>
    <w:p>
      <w:pPr>
        <w:pStyle w:val="3"/>
        <w:spacing w:line="288" w:lineRule="auto"/>
        <w:rPr>
          <w:rFonts w:hint="eastAsia" w:hAnsi="宋体" w:cs="宋体"/>
        </w:rPr>
      </w:pPr>
      <w:r>
        <w:rPr>
          <w:rFonts w:hint="eastAsia" w:hAnsi="宋体" w:cs="宋体"/>
        </w:rPr>
        <w:t>　　我国刑事诉讼法规定“公检法三机关分工负责, 互相配合, 互相制约” 。法院作为审判机关, 不享有侦查权, 也不参与侦查阶段的诉讼活动。而公安机关(指广义的公安机关, 包括普通公安机关、国家安全机关、监狱和军队保卫部门)和检察机关则属于法定的侦查机构, 有权直接实施各项具体的侦查行为。我国实行的这种由公安机关和检察机关分别独立行使侦查权的制度, 使得大多数刑事案件是由公安机关单独进行侦查, 检察机关在法律上无权直接参与公安机关立案的侦察活动, 更无权就侦查行为的实施向警察发布命令和指示, 甚至连公安机关是否立案并开始侦查程序以及是否撤销案件从而终结侦查程序, 都由公安机关自行作出决定。</w:t>
      </w:r>
    </w:p>
    <w:p>
      <w:pPr>
        <w:pStyle w:val="3"/>
        <w:spacing w:line="288" w:lineRule="auto"/>
        <w:rPr>
          <w:rFonts w:hint="eastAsia" w:hAnsi="宋体" w:cs="宋体"/>
          <w:b/>
          <w:sz w:val="24"/>
          <w:szCs w:val="24"/>
        </w:rPr>
      </w:pPr>
      <w:r>
        <w:rPr>
          <w:rFonts w:hint="eastAsia" w:hAnsi="宋体" w:cs="宋体"/>
          <w:b/>
          <w:sz w:val="24"/>
          <w:szCs w:val="24"/>
        </w:rPr>
        <w:t>(二)侦查行为的实施方式</w:t>
      </w:r>
    </w:p>
    <w:p>
      <w:pPr>
        <w:pStyle w:val="3"/>
        <w:spacing w:line="288" w:lineRule="auto"/>
        <w:rPr>
          <w:rFonts w:hint="eastAsia" w:hAnsi="宋体" w:cs="宋体"/>
        </w:rPr>
      </w:pPr>
      <w:r>
        <w:rPr>
          <w:rFonts w:hint="eastAsia" w:hAnsi="宋体" w:cs="宋体"/>
        </w:rPr>
        <w:t>　　在日本刑事诉讼法中侦查分为任意侦查和强制侦查,侦查可以开始于公民提供的犯罪线索, 如告诉、告发、请求、自首等, 也可以开始于侦查机关直接发现的线索, 如通过检验非正常死亡的尸体、职务查问、检查持有物品等发现的线索。侦查可以分别采用或者一并采用任意侦查和强制侦查行为。所谓任意侦查, 是指以受侦查人同意或承诺为前提而进行的侦查。常见的任意侦查方式主要有要求被疑人或被疑人以外的人到场并对他进行调查, 要求某人前往一定场所, 获得被疑人或其他人自愿提出的书面材料,委托鉴定, 口译和笔译, 要求公务机关或公私团体提出有关事项的报告, 留存被丢弃的物品或者由所有人、持有人、及保管人自愿提出的物品等。所谓强制侦查是指不受被侦查人意思约束而强制进行的处分, 强制侦查原则上应当依据法官签发的令状而实施, 这称为强制侦查令状主义。日本《刑事诉讼法》是将任意侦查作为原则, 强制侦查仅仅是例外。强制侦查仅限于刑事诉讼法有特别规定的场合方可进行。法律规定的强制侦查方式包括逮捕、羁押、搜查、勘验、鉴定处分、询问证人等。逮捕、羁押、搜查等强制侦查行为应经法官审查得到法官许可才可进行。</w:t>
      </w:r>
    </w:p>
    <w:p>
      <w:pPr>
        <w:pStyle w:val="3"/>
        <w:spacing w:line="288" w:lineRule="auto"/>
        <w:rPr>
          <w:rFonts w:hint="eastAsia" w:hAnsi="宋体" w:cs="宋体"/>
        </w:rPr>
      </w:pPr>
      <w:r>
        <w:rPr>
          <w:rFonts w:hint="eastAsia" w:hAnsi="宋体" w:cs="宋体"/>
        </w:rPr>
        <w:t>　　我国《刑事诉讼法》规定, 侦查是指“公安机关、人民检察院在办理案件过程中, 依照法律进行的专门调查工作和有关的强制措施。”因此我国的刑事侦查活动由两部分组成:一是进行专门调查工作, 二是采取强制措施。我国刑事诉讼法规定的专门性调查工作包括询问犯罪嫌疑人、询问证人、被害人、勘验、检查、鉴定等六种。同时在司法实践中, 根据《公安机关办理刑事案件程序规定》之规定, 还包括辨认、侦查实验等调查活动。强制措施包括法定的五种, 即拘传、取保候审、监视居住、拘留和逮捕,也包括搜查、扣押、查询、冻结、通缉等侦查措施。</w:t>
      </w:r>
    </w:p>
    <w:p>
      <w:pPr>
        <w:pStyle w:val="3"/>
        <w:spacing w:line="288" w:lineRule="auto"/>
        <w:ind w:firstLine="426"/>
        <w:rPr>
          <w:rFonts w:hint="eastAsia" w:hAnsi="宋体" w:cs="宋体"/>
        </w:rPr>
      </w:pPr>
      <w:r>
        <w:rPr>
          <w:rFonts w:hint="eastAsia" w:hAnsi="宋体" w:cs="宋体"/>
        </w:rPr>
        <w:t>与日本的侦查程序相比, 中国的侦察活动完全由侦查机构自行实施, 法院不参与侦查活动, 也无权对侦查行为实施授权和审查。因此侦查阶段的所有专门调查和采取强制措施的活动都不按照开庭听审的方式进行, 而是遵循行政活动的方式进行运作。首先在侦查阶段, 只有侦查机构的侦查行为, 而没有犯罪嫌疑人一方的调查行为。如果犯罪嫌疑人或辩护律师针对案件展开调查, 侦查机构可以以妨碍侦查为由对他们的调查活动进行限制, 甚至可以采取必要的强制措施。因此在侦查阶段没有真正意义上的辩护方, 同时法律没有赋予犯罪嫌疑人防御的权力, 当然也谈不上有效防御。其次, 所有的侦查活动都有侦查机关依职权主动进行, 犯罪嫌疑人只能被动的服从和配合, 侦查机构在采取专门调查工作和强制措施时, 不允许律师在场,更勿庸听取辩护律师的意见, 而是直接自行作出有关的决定, 并实施侦查行为。再次, 所有的侦查活动都是以秘密,封闭的方式进行的, 有些犯罪嫌疑人失踪多天, 家属和单位才知道被拘留或逮捕, 我国《刑事诉讼法》虽然规定侦查机构应当在24小时内通知被拘留人、被逮捕人的家属,但对有碍侦查和无法通知的情形是除外的, 这里的有碍侦查和无法通知往往成了侦查机构不履行通知义务的最好借口。</w:t>
      </w:r>
    </w:p>
    <w:p>
      <w:pPr>
        <w:pStyle w:val="3"/>
        <w:spacing w:line="288" w:lineRule="auto"/>
        <w:rPr>
          <w:rFonts w:hint="eastAsia" w:hAnsi="宋体" w:cs="宋体"/>
          <w:b/>
          <w:sz w:val="24"/>
          <w:szCs w:val="24"/>
        </w:rPr>
      </w:pPr>
      <w:r>
        <w:rPr>
          <w:rFonts w:hint="eastAsia" w:hAnsi="宋体" w:cs="宋体"/>
          <w:b/>
          <w:sz w:val="24"/>
          <w:szCs w:val="24"/>
        </w:rPr>
        <w:t>(三)司法对侦查活动的控制方面</w:t>
      </w:r>
    </w:p>
    <w:p>
      <w:pPr>
        <w:pStyle w:val="3"/>
        <w:spacing w:line="288" w:lineRule="auto"/>
        <w:rPr>
          <w:rFonts w:hint="eastAsia" w:hAnsi="宋体" w:cs="宋体"/>
        </w:rPr>
      </w:pPr>
      <w:r>
        <w:rPr>
          <w:rFonts w:hint="eastAsia" w:hAnsi="宋体" w:cs="宋体"/>
        </w:rPr>
        <w:t>　　日本采取的是混合式的侦查模式, 也称诉讼式侦查模式。该结构具备以下特征:强调检察官介入侦查, 具有指挥司法警察工作的权威性, 重视第一次侦查机关(司法警察)与犯罪嫌疑人及其辩护人的关系;侦查结构也是三角形的关系, 检察官居于三角形结构的顶端, 司法警察与犯罪嫌疑人构成三角结构的两个底角, 这种有检察官和警察和为一体的侦查机关, 在侦查中享有一系列侦查权, 但是在侦查行为中, 对犯罪嫌疑人如果实施逮捕、羁押、搜查、扣押等强制措施, 则必须征得审判官即法官的批准。即便在某些紧急情况下, 先采取逮捕措施后, 也应当立即请求法官签发逮捕证, 如法官没有签发逮捕正式, 应当立即释放被疑人。</w:t>
      </w:r>
    </w:p>
    <w:p>
      <w:pPr>
        <w:pStyle w:val="3"/>
        <w:spacing w:line="288" w:lineRule="auto"/>
        <w:rPr>
          <w:rFonts w:hint="eastAsia" w:hAnsi="宋体" w:cs="宋体"/>
        </w:rPr>
      </w:pPr>
      <w:r>
        <w:rPr>
          <w:rFonts w:hint="eastAsia" w:hAnsi="宋体" w:cs="宋体"/>
        </w:rPr>
        <w:t xml:space="preserve">　　由此来看, 笔者认为, 日本的刑事侦查模式, 是按照诉讼的形态建构的, 将国家追究公民刑事责任的活动纳入“诉讼” 的运行轨道, 建立了针对侦查行为的司法授权和审查机制。这显然是“司法最终裁决” 这一现代法治原则的典型体现。 </w:t>
      </w:r>
    </w:p>
    <w:p>
      <w:pPr>
        <w:pStyle w:val="3"/>
        <w:spacing w:line="288" w:lineRule="auto"/>
        <w:rPr>
          <w:rFonts w:hint="eastAsia" w:hAnsi="宋体" w:cs="宋体"/>
        </w:rPr>
      </w:pPr>
      <w:r>
        <w:rPr>
          <w:rFonts w:hint="eastAsia" w:hAnsi="宋体" w:cs="宋体"/>
        </w:rPr>
        <w:t>　　与日本相比, 我国的侦查是在中立的司法机关不参与的情况下进行的, 侦查机构采取的所有强制措施即拘传、取保候审、监视居住、拘留等, 全部是由侦查机关自己决定的, 如果侦查机关是公安机关, 这些措施的执行也有自己执行。唯一的制约来自侦查机关内部, 也就是说, 侦查人员在实施上述强制措施前, 须取得负责人的授权和批准,并由负责人签发有关的许可令状。</w:t>
      </w:r>
    </w:p>
    <w:p>
      <w:pPr>
        <w:pStyle w:val="3"/>
        <w:spacing w:line="288" w:lineRule="auto"/>
        <w:rPr>
          <w:rFonts w:hint="eastAsia" w:hAnsi="宋体" w:cs="宋体"/>
        </w:rPr>
      </w:pPr>
      <w:r>
        <w:rPr>
          <w:rFonts w:hint="eastAsia" w:hAnsi="宋体" w:cs="宋体"/>
        </w:rPr>
        <w:t>　　侦查机关在实施逮捕方面虽受到检察机关的审查, 但是从国际惯例及联合国对检察机关的性质认定来看, 检察机关应为行政机关而非公认的司法机关, 同时检察机关作为国家的公诉机关本身不可能成为中立的司法机关, 因此它对公安机关逮捕权的制约在有效性方面受到限制。同时检察院在自侦案件中还有权自行决定逮捕的权力, 这使得司法审查荡然无存。</w:t>
      </w:r>
    </w:p>
    <w:p>
      <w:pPr>
        <w:pStyle w:val="3"/>
        <w:spacing w:line="288" w:lineRule="auto"/>
        <w:rPr>
          <w:rFonts w:hint="eastAsia" w:hAnsi="宋体" w:cs="宋体"/>
        </w:rPr>
      </w:pPr>
      <w:r>
        <w:rPr>
          <w:rFonts w:hint="eastAsia" w:hAnsi="宋体" w:cs="宋体"/>
        </w:rPr>
        <w:t>　　由于缺乏真正中立的司法机关的司法控制, 侦查机关对几乎所有案件的犯罪嫌疑人在拘留时都拘留到了37日(法定最长时间), 同时, 超期羁押问题也比比皆是, (于日本相比, 我国侦查机构实施的拘留、逮捕与审前羁押措施没有实现程序上的分离, 审前羁押措施的采用不需专门的法律程序)。也就是说, 在拘留的使用上, 侦查机构拥有绝对的决定权, 而不受任何中立的司法审查。</w:t>
      </w:r>
    </w:p>
    <w:p>
      <w:pPr>
        <w:pStyle w:val="3"/>
        <w:spacing w:line="288" w:lineRule="auto"/>
        <w:ind w:firstLine="420"/>
        <w:rPr>
          <w:rFonts w:hint="eastAsia" w:hAnsi="宋体" w:cs="宋体"/>
        </w:rPr>
      </w:pPr>
      <w:r>
        <w:rPr>
          <w:rFonts w:hint="eastAsia" w:hAnsi="宋体" w:cs="宋体"/>
        </w:rPr>
        <w:t>在我国, 逮捕是侦查机构对有证据证明有犯罪事实,可能判处有期徒刑以上刑罚, 而采取其他强制措施不足以防止发生社会危害性的犯罪嫌疑人, 暂时剥夺人身自由的强制措施, 逮捕是我国刑事诉讼中最严厉的强制措施, 它会使犯罪嫌疑人受到较长时间的羁押, 侦查机关一旦采取逮捕措施, 就可以将犯罪嫌疑人连续羁押两个月, 同时上级检察机关和省级检察机关还可以在法定情况下将羁押期间延长到七个月。在对犯罪嫌疑人就羁押期限进行延长时,侦查机关或公诉机关完全是依职权单方面的作出有关的规定, 因在这个阶段不存在中立的司法机关, 也就不就此举行开庭审理活动或听证活动, 嫌疑人及其律师无从直接向司法机关提供意见, 也无从与侦查机关进行辩论。</w:t>
      </w:r>
    </w:p>
    <w:p>
      <w:pPr>
        <w:pStyle w:val="3"/>
        <w:spacing w:line="288" w:lineRule="auto"/>
        <w:rPr>
          <w:rFonts w:hint="eastAsia" w:hAnsi="宋体" w:cs="宋体"/>
        </w:rPr>
      </w:pPr>
    </w:p>
    <w:p>
      <w:pPr>
        <w:pStyle w:val="3"/>
        <w:spacing w:line="288" w:lineRule="auto"/>
        <w:rPr>
          <w:rFonts w:hint="eastAsia" w:hAnsi="宋体" w:cs="宋体"/>
        </w:rPr>
      </w:pPr>
    </w:p>
    <w:p>
      <w:pPr>
        <w:pStyle w:val="3"/>
        <w:spacing w:line="288" w:lineRule="auto"/>
        <w:rPr>
          <w:rFonts w:hint="eastAsia" w:hAnsi="宋体" w:cs="宋体"/>
          <w:b/>
          <w:sz w:val="24"/>
          <w:szCs w:val="24"/>
        </w:rPr>
      </w:pPr>
      <w:r>
        <w:rPr>
          <w:rFonts w:hint="eastAsia" w:hAnsi="宋体" w:cs="宋体"/>
          <w:b/>
          <w:sz w:val="24"/>
          <w:szCs w:val="24"/>
        </w:rPr>
        <w:t>(四)犯罪嫌疑人在诉讼中的地位及律师的参与方面</w:t>
      </w:r>
    </w:p>
    <w:p>
      <w:pPr>
        <w:pStyle w:val="3"/>
        <w:spacing w:line="288" w:lineRule="auto"/>
        <w:rPr>
          <w:rFonts w:hint="eastAsia" w:hAnsi="宋体" w:cs="宋体"/>
        </w:rPr>
      </w:pPr>
      <w:r>
        <w:rPr>
          <w:rFonts w:hint="eastAsia" w:hAnsi="宋体" w:cs="宋体"/>
        </w:rPr>
        <w:t>　　在日本刑事诉讼中, 侦查阶段参入了当事人主义的诸多因素, 表现在以下几个方面:首先, 赋予犯罪嫌疑人委托辩护人的权力, 根据刑事诉讼法第31条第一项规定:身体受到拘禁的被告人或被疑人, 可以在没有见证人参加的情况下, 与辩护人或有能够选任辩护人的人所委托的辩护人进行接见, 或授受文件或物件。日本学者认为, 这项权利是犯罪嫌疑人在侦查中进行防御的最基本的的权利。其次, 根据日本宪法第38条关于“不得强制任何人对自己作不利供述” 的规定, 日本学者称这项权利为“拒绝自己负罪的特权” 或宪法上的沉默权。犯罪嫌疑人对与检察官、检察事务官及司法警察的讯问调查, 有权保持沉默, 拒绝作违反自己意思的供述。第三, 为了避免不当的拘禁, 犯罪嫌疑人有权进行准抗告, 请求告知羁押理由, 请求取消羁押, 申请停止执行羁押和请求返还被扣押物件等。第四,赋予被告人、辩护人审判前的诉讼在场权, 根据刑事诉讼法第113条第一项规定, 检察官、被告人或辩护人在执行查封证或是搜查证时在场, 第157条第1项规定, 检察官、被告人或是辩护人可以在询问证人是在场。第170条规定,检察官和辩护人可以在鉴定时在场。第五, 被疑人享有证据保全的请求权, 依照法律, 如果不预先保全证据会在使用证据上遇到困难时以在第一次公审期日前为限, 被疑人或者它的辩护人可以请求法官作出询问证人、搜集、扣押、鉴定、勘验等处分。辩护人经法官许可, 可以在法院阅览和抄写有关处分的材料。被疑人没有辩护人时, 经法官许可, 也可以阅览处分材料。</w:t>
      </w:r>
      <w:r>
        <w:rPr>
          <w:rStyle w:val="12"/>
          <w:rFonts w:hAnsi="宋体" w:cs="宋体"/>
        </w:rPr>
        <w:footnoteReference w:id="8" w:customMarkFollows="1"/>
        <w:sym w:font="Symbol" w:char="F05B"/>
      </w:r>
      <w:r>
        <w:rPr>
          <w:rStyle w:val="12"/>
          <w:rFonts w:hAnsi="宋体" w:cs="宋体"/>
        </w:rPr>
        <w:sym w:font="Symbol" w:char="F033"/>
      </w:r>
      <w:r>
        <w:rPr>
          <w:rStyle w:val="12"/>
          <w:rFonts w:hAnsi="宋体" w:cs="宋体"/>
        </w:rPr>
        <w:sym w:font="Symbol" w:char="F05D"/>
      </w:r>
    </w:p>
    <w:p>
      <w:pPr>
        <w:pStyle w:val="3"/>
        <w:spacing w:line="288" w:lineRule="auto"/>
        <w:rPr>
          <w:rFonts w:hint="eastAsia" w:hAnsi="宋体" w:cs="宋体"/>
        </w:rPr>
      </w:pPr>
      <w:r>
        <w:rPr>
          <w:rFonts w:hint="eastAsia" w:hAnsi="宋体" w:cs="宋体"/>
        </w:rPr>
        <w:t>　　与日本相比, 我国法律没有赋予犯罪嫌疑人保持沉默的权利, 恰恰相反, 犯罪嫌疑人对侦查人员的询问负有“如实回答” 的义务。所谓的如实回答包括两个方面:一是必须回答问题, 无权保持沉默;二是必须讲出事实真相,不得隐瞒或虚构事实。犯罪嫌疑人的如实回答义务, 是“坦白从宽, 抗拒从严” 这一刑事政策的法律体现。在相当多的侦查活动中, 讯问犯罪嫌疑人, 要求犯罪嫌疑人如实供述, 成了侦查人员搜集证据的主要途径。</w:t>
      </w:r>
    </w:p>
    <w:p>
      <w:pPr>
        <w:pStyle w:val="3"/>
        <w:spacing w:line="288" w:lineRule="auto"/>
        <w:rPr>
          <w:rFonts w:hint="eastAsia" w:hAnsi="宋体" w:cs="宋体"/>
        </w:rPr>
      </w:pPr>
      <w:r>
        <w:rPr>
          <w:rFonts w:hint="eastAsia" w:hAnsi="宋体" w:cs="宋体"/>
        </w:rPr>
        <w:t>　　在我国的刑事诉讼中, 长期以来, 犯罪嫌疑人在侦查阶段无权获得律师的帮助, 只能单独面对专政机关。1997年以后, 根据修改后的《刑事诉讼法》的规定, 律师作为犯罪嫌疑人的法律帮助者可以参与侦查阶段的活动。根据法律规定, 犯罪嫌疑人在侦查人员第一次讯问后或者采取强制措施之日起, 有权被告知可以委托律师提供法律帮助。一般情况下, 辩护律师在辩护阶段可以从事以下行为:会见在押的犯罪嫌疑人, 向其了解有关案件的情况, 向侦查机构了解犯罪嫌疑人涉嫌的罪名;为犯罪嫌疑人提供法律咨询, 代理申诉和控告, 可以为犯罪嫌疑人申请取保候审。</w:t>
      </w:r>
    </w:p>
    <w:p>
      <w:pPr>
        <w:pStyle w:val="3"/>
        <w:spacing w:line="288" w:lineRule="auto"/>
        <w:ind w:firstLine="420"/>
        <w:rPr>
          <w:rFonts w:hint="eastAsia" w:hAnsi="宋体" w:cs="宋体"/>
        </w:rPr>
      </w:pPr>
      <w:r>
        <w:rPr>
          <w:rFonts w:hint="eastAsia" w:hAnsi="宋体" w:cs="宋体"/>
        </w:rPr>
        <w:t>律师在侦查阶段的行为, 对于改善犯罪嫌疑人的地位,制约侦查机关的权力有一定的积极作用。但是, 侦查阶段律师的地位还不具有辩护人的地位, 律师参与侦查活动的范围受到法律、司法解释及惯例的严格限制。首先, 律师在侦查阶段会见在押的犯罪嫌疑人, 侦查机构可以根据案件情况和需要派员在场监视, 这是律师与犯罪嫌疑人之间的交流受到限制, 其次, 遇到涉及国家机密的案件的情况,犯罪嫌疑人委托律师提供法律帮助以及与律师进行会见,都要取得侦查机关的批准。第三, 侦查人员对犯罪嫌疑人进行讯问过程中, 律师无权在场。</w:t>
      </w:r>
    </w:p>
    <w:p>
      <w:pPr>
        <w:pStyle w:val="3"/>
        <w:spacing w:line="288" w:lineRule="auto"/>
        <w:ind w:firstLine="420"/>
        <w:rPr>
          <w:rFonts w:hint="eastAsia" w:hAnsi="宋体" w:cs="宋体"/>
        </w:rPr>
      </w:pPr>
    </w:p>
    <w:p>
      <w:pPr>
        <w:pStyle w:val="3"/>
        <w:numPr>
          <w:ilvl w:val="0"/>
          <w:numId w:val="0"/>
        </w:numPr>
        <w:spacing w:line="288" w:lineRule="auto"/>
        <w:jc w:val="center"/>
        <w:rPr>
          <w:rFonts w:hint="eastAsia" w:ascii="黑体" w:hAnsi="黑体" w:eastAsia="黑体" w:cs="宋体"/>
          <w:b/>
          <w:sz w:val="21"/>
          <w:szCs w:val="21"/>
        </w:rPr>
      </w:pPr>
      <w:r>
        <w:rPr>
          <w:rFonts w:hint="eastAsia" w:ascii="黑体" w:hAnsi="黑体" w:eastAsia="黑体" w:cs="宋体"/>
          <w:b/>
          <w:sz w:val="28"/>
          <w:szCs w:val="28"/>
          <w:lang w:val="en-US" w:eastAsia="zh-CN"/>
        </w:rPr>
        <w:t>二、</w:t>
      </w:r>
      <w:r>
        <w:rPr>
          <w:rFonts w:hint="eastAsia" w:ascii="黑体" w:hAnsi="黑体" w:eastAsia="黑体" w:cs="宋体"/>
          <w:b/>
          <w:sz w:val="28"/>
          <w:szCs w:val="28"/>
        </w:rPr>
        <w:t>我国侦查模式存在的缺失</w:t>
      </w:r>
    </w:p>
    <w:p>
      <w:pPr>
        <w:pStyle w:val="3"/>
        <w:spacing w:line="288" w:lineRule="auto"/>
        <w:rPr>
          <w:rFonts w:hint="eastAsia" w:hAnsi="宋体" w:cs="宋体"/>
        </w:rPr>
      </w:pPr>
      <w:r>
        <w:rPr>
          <w:rFonts w:hint="eastAsia" w:hAnsi="宋体" w:cs="宋体"/>
        </w:rPr>
        <w:t>　　我国侦查模式在程序构造上存在诸多问题, 正是这种有缺陷的侦查构造, 导致了我国侦查模式的实际运作正越来越背离立法者的本意。那么, 与日本侦查模式相比, 我国的侦查模式存在着哪些缺失呢?首先, 缺少一个超然的、中立的司法机关对追诉方的活动进行合法性审查, 对犯罪嫌疑人的权力予以切实保障,使得侦查权的使用失去必要的司法控制, 偏离了诉讼所应具备的基本结构与起码的公正要求。只存在追诉方权利的运用。因而, 无论是拘留、逮捕、搜查、扣押的实施, 还是对犯罪嫌疑人长时间的羁押, 都是由侦查机关自己或者检察机关通过秘密审查来发布许可令状的方式完成的。由此可以看出, 我国的刑事侦查带有强烈的封闭性、秘密性和单方性。</w:t>
      </w:r>
      <w:r>
        <w:rPr>
          <w:rStyle w:val="12"/>
          <w:rFonts w:hAnsi="宋体" w:cs="宋体"/>
        </w:rPr>
        <w:footnoteReference w:id="9" w:customMarkFollows="1"/>
        <w:sym w:font="Symbol" w:char="F05B"/>
      </w:r>
      <w:r>
        <w:rPr>
          <w:rStyle w:val="12"/>
          <w:rFonts w:hAnsi="宋体" w:cs="宋体"/>
        </w:rPr>
        <w:sym w:font="Symbol" w:char="F034"/>
      </w:r>
      <w:r>
        <w:rPr>
          <w:rStyle w:val="12"/>
          <w:rFonts w:hAnsi="宋体" w:cs="宋体"/>
        </w:rPr>
        <w:sym w:font="Symbol" w:char="F05D"/>
      </w:r>
      <w:r>
        <w:rPr>
          <w:rFonts w:hint="eastAsia" w:hAnsi="宋体" w:cs="宋体"/>
        </w:rPr>
        <w:t>这种制度设计不符合“控诉与裁判职能分离” , “司法最终裁决” 等现代法治的原则, 因此会经常带来诸如非法羁押、超期羁押、非法搜查、任意扣押、刑讯逼供等侦查权的滥用。</w:t>
      </w:r>
    </w:p>
    <w:p>
      <w:pPr>
        <w:pStyle w:val="3"/>
        <w:spacing w:line="288" w:lineRule="auto"/>
        <w:rPr>
          <w:rFonts w:hint="eastAsia" w:hAnsi="宋体" w:cs="宋体"/>
        </w:rPr>
      </w:pPr>
      <w:r>
        <w:rPr>
          <w:rFonts w:hint="eastAsia" w:hAnsi="宋体" w:cs="宋体"/>
        </w:rPr>
        <w:t>　　其次, 犯罪嫌疑人承担被迫自证其罪的义务, 同时,不享有沉默权。律师所能提供的帮助极其有限, 我国刑事诉讼的“如实陈述” 的规定, 使犯罪嫌疑人从法律上不得不承担被迫供述自己罪行的义务, 失去了进行自愿陈述的自由。</w:t>
      </w:r>
    </w:p>
    <w:p>
      <w:pPr>
        <w:pStyle w:val="3"/>
        <w:spacing w:line="288" w:lineRule="auto"/>
        <w:ind w:firstLine="426"/>
        <w:rPr>
          <w:rFonts w:hint="eastAsia" w:hAnsi="宋体" w:cs="宋体"/>
        </w:rPr>
      </w:pPr>
      <w:r>
        <w:rPr>
          <w:rFonts w:hint="eastAsia" w:hAnsi="宋体" w:cs="宋体"/>
        </w:rPr>
        <w:t>第三, 律师在侦查阶段的参与范围极其有限, 对侦查权的制约微乎其微, 辩护律师除了与在押犯罪嫌疑人进行受到诸多限制的会见和代为申诉、控告、申请外, 不能进行任何有效的诉讼防御活动, 在侦查的过程中不能在场,不能阅卷, 不能调查取证, 也不能向中立的司法机关提出任何有效的申请, 可以说, 在侦查阶段没有形成真正意义上的辩方。</w:t>
      </w:r>
    </w:p>
    <w:p>
      <w:pPr>
        <w:pStyle w:val="3"/>
        <w:spacing w:line="288" w:lineRule="auto"/>
        <w:ind w:firstLine="426"/>
        <w:rPr>
          <w:rFonts w:hint="eastAsia" w:hAnsi="宋体" w:cs="宋体"/>
        </w:rPr>
      </w:pPr>
    </w:p>
    <w:p>
      <w:pPr>
        <w:pStyle w:val="3"/>
        <w:numPr>
          <w:ilvl w:val="0"/>
          <w:numId w:val="0"/>
        </w:numPr>
        <w:spacing w:line="288" w:lineRule="auto"/>
        <w:jc w:val="center"/>
        <w:rPr>
          <w:rFonts w:hint="eastAsia" w:ascii="黑体" w:hAnsi="黑体" w:eastAsia="黑体" w:cs="宋体"/>
          <w:b/>
          <w:sz w:val="21"/>
          <w:szCs w:val="21"/>
        </w:rPr>
      </w:pPr>
      <w:r>
        <w:rPr>
          <w:rFonts w:hint="eastAsia" w:ascii="黑体" w:hAnsi="黑体" w:eastAsia="黑体" w:cs="宋体"/>
          <w:b/>
          <w:sz w:val="28"/>
          <w:szCs w:val="28"/>
          <w:lang w:val="en-US" w:eastAsia="zh-CN"/>
        </w:rPr>
        <w:t>三、</w:t>
      </w:r>
      <w:r>
        <w:rPr>
          <w:rFonts w:hint="eastAsia" w:ascii="黑体" w:hAnsi="黑体" w:eastAsia="黑体" w:cs="宋体"/>
          <w:b/>
          <w:sz w:val="28"/>
          <w:szCs w:val="28"/>
        </w:rPr>
        <w:t>我国侦查模式的重构</w:t>
      </w:r>
    </w:p>
    <w:p>
      <w:pPr>
        <w:pStyle w:val="3"/>
        <w:spacing w:line="288" w:lineRule="auto"/>
        <w:rPr>
          <w:rFonts w:hint="eastAsia" w:hAnsi="宋体" w:cs="宋体"/>
        </w:rPr>
      </w:pPr>
      <w:r>
        <w:rPr>
          <w:rFonts w:hint="eastAsia" w:hAnsi="宋体" w:cs="宋体"/>
        </w:rPr>
        <w:t>　　党的十六大报告明确提出了司法体制改革的目标和内容, 指出社会主义司法制度必须保障在全社会实现公平和正义。按照公正司法和严格执法的要求, 完善司法机关的机构设置、职权划分, 完善诉讼程序、保障公民和法人的合法权益。同时指出, 加强对权利的制约和监督, 建立结构合理, 程序严密, 制约有效的权力运行机制。上述论断,为刑事诉讼法学特别是侦查模式的研究指明了方向, 提供了政策性依据。因此在了解他国的结构设置和反思我国现行制度的缺失后, 必然要重新建构我国新的侦查模式。</w:t>
      </w:r>
    </w:p>
    <w:p>
      <w:pPr>
        <w:pStyle w:val="3"/>
        <w:spacing w:line="288" w:lineRule="auto"/>
        <w:rPr>
          <w:rFonts w:hint="eastAsia" w:hAnsi="宋体" w:cs="宋体"/>
          <w:b/>
          <w:sz w:val="24"/>
          <w:szCs w:val="24"/>
        </w:rPr>
      </w:pPr>
      <w:r>
        <w:rPr>
          <w:rFonts w:hint="eastAsia" w:hAnsi="宋体" w:cs="宋体"/>
          <w:b/>
          <w:sz w:val="24"/>
          <w:szCs w:val="24"/>
        </w:rPr>
        <w:t>(一)在我国建构司法审查机制。</w:t>
      </w:r>
    </w:p>
    <w:p>
      <w:pPr>
        <w:pStyle w:val="3"/>
        <w:spacing w:line="288" w:lineRule="auto"/>
        <w:rPr>
          <w:rFonts w:hint="eastAsia" w:hAnsi="宋体" w:cs="宋体"/>
        </w:rPr>
      </w:pPr>
      <w:r>
        <w:rPr>
          <w:rFonts w:hint="eastAsia" w:hAnsi="宋体" w:cs="宋体"/>
        </w:rPr>
        <w:t>　　首先在宪法及刑事诉讼法中明确司法审查的原则和制度:一是建立针对侦查行为的司法授权和审查机制。对侦查中涉及限制或者剥夺公民权利的侦查行为如拘留、逮捕、搜查、扣押、监听等侦查措施或手段的实施应由法院进行司法授权并签发令状,结束当前由检察机关垄断的局面, 防止追诉权的过渡膨胀。二是将逮捕与羁押分离开来, 逮捕仅仅是一种暂时限制人身自由的先行手段, 逮捕后是否羁押由法官裁判, 控辩双方均参与, 按照法庭审理的方式来确定对犯罪嫌疑人能否进行羁押及羁押的期限。其次, 明确司法审查机构的设置,为了保证司法的公正性, 可以在现有的法院系统内设立专门的预审法官, 让预审法官对强制性侦查行为进行合法审查和令状授权, 他的权限仅限于此, 在以后的审判程序中预审法官不得参与案件的实体审理。最后, 应规定司法审查的例外, 在法定紧急情况下, 侦查机关可以先自行决定采取强制措施, 但事后应尽快取得预审法官的追认授权,如不能得以追认, 应撤销已采取的强制措施。</w:t>
      </w:r>
    </w:p>
    <w:p>
      <w:pPr>
        <w:pStyle w:val="3"/>
        <w:spacing w:line="288" w:lineRule="auto"/>
        <w:rPr>
          <w:rFonts w:hint="eastAsia" w:hAnsi="宋体" w:cs="宋体"/>
          <w:b/>
          <w:sz w:val="24"/>
          <w:szCs w:val="24"/>
        </w:rPr>
      </w:pPr>
      <w:r>
        <w:rPr>
          <w:rFonts w:hint="eastAsia" w:hAnsi="宋体" w:cs="宋体"/>
          <w:b/>
          <w:sz w:val="24"/>
          <w:szCs w:val="24"/>
        </w:rPr>
        <w:t>(二)确立不得“自认其罪” 的原则。</w:t>
      </w:r>
    </w:p>
    <w:p>
      <w:pPr>
        <w:pStyle w:val="3"/>
        <w:spacing w:line="288" w:lineRule="auto"/>
        <w:rPr>
          <w:rFonts w:hint="eastAsia" w:hAnsi="宋体" w:cs="宋体"/>
        </w:rPr>
      </w:pPr>
      <w:r>
        <w:rPr>
          <w:rFonts w:hint="eastAsia" w:hAnsi="宋体" w:cs="宋体"/>
        </w:rPr>
        <w:t>　　赋予犯罪嫌疑人享有“沉默权”, 取消现行刑事诉讼法中“如实回答”的规定。目前反对强迫自证其罪原则是世界各国普遍适用的一项司法准则, 犯罪嫌疑人享有沉默权是遏制刑讯逼供的有效手段。我国已于1998年10 月签署加入《公民权利和政治权利国际公约》, 因此应承担该条约规定的此项义务。同时国内的执法环境经过几年司法改革的推行也逐步的得以改善, 立法条件也已基本成熟, 执法者对该原则的认同大大增加, 有些地方已出现了潜规则的沉默权, 如“零口供”。因此, 目前可以将该原则确立。</w:t>
      </w:r>
    </w:p>
    <w:p>
      <w:pPr>
        <w:pStyle w:val="3"/>
        <w:spacing w:line="288" w:lineRule="auto"/>
        <w:rPr>
          <w:rFonts w:hint="eastAsia" w:hAnsi="宋体" w:cs="宋体"/>
          <w:b/>
          <w:sz w:val="24"/>
          <w:szCs w:val="24"/>
        </w:rPr>
      </w:pPr>
      <w:r>
        <w:rPr>
          <w:rFonts w:hint="eastAsia" w:hAnsi="宋体" w:cs="宋体"/>
          <w:b/>
          <w:sz w:val="24"/>
          <w:szCs w:val="24"/>
        </w:rPr>
        <w:t>(三)扩大律师参与侦查阶段的诉讼权利, 确立律师在场制度。</w:t>
      </w:r>
    </w:p>
    <w:p>
      <w:pPr>
        <w:pStyle w:val="3"/>
        <w:spacing w:line="288" w:lineRule="auto"/>
        <w:rPr>
          <w:rFonts w:hint="eastAsia" w:hAnsi="宋体" w:cs="宋体"/>
        </w:rPr>
      </w:pPr>
      <w:r>
        <w:rPr>
          <w:rFonts w:hint="eastAsia" w:hAnsi="宋体" w:cs="宋体"/>
        </w:rPr>
        <w:t>　　在侦查阶段, 犯罪嫌疑人及时有效的得到律师的帮助, 对沉默权制度的作用发挥至关重要。因此立法上要赋予律师实际的权力, 如询问犯罪嫌疑人时的在场权, 侦查阶段的调查取证权, 阅卷复印卷宗的权力。同时要切实保障律师能够及时、顺畅、安全的介入诉讼。</w:t>
      </w:r>
    </w:p>
    <w:p>
      <w:pPr>
        <w:pStyle w:val="3"/>
        <w:spacing w:line="288" w:lineRule="auto"/>
        <w:rPr>
          <w:rFonts w:hint="eastAsia" w:hAnsi="宋体" w:cs="宋体"/>
        </w:rPr>
      </w:pPr>
      <w:r>
        <w:rPr>
          <w:rFonts w:hint="eastAsia" w:hAnsi="宋体" w:cs="宋体"/>
        </w:rPr>
        <w:t>　　</w:t>
      </w:r>
    </w:p>
    <w:p>
      <w:pPr>
        <w:pStyle w:val="3"/>
        <w:spacing w:line="288" w:lineRule="auto"/>
        <w:jc w:val="center"/>
        <w:rPr>
          <w:rFonts w:hint="eastAsia" w:ascii="黑体" w:hAnsi="黑体" w:eastAsia="黑体" w:cs="宋体"/>
          <w:b/>
          <w:sz w:val="28"/>
          <w:szCs w:val="28"/>
        </w:rPr>
      </w:pPr>
      <w:r>
        <w:rPr>
          <w:rFonts w:hint="eastAsia" w:ascii="黑体" w:hAnsi="黑体" w:eastAsia="黑体" w:cs="宋体"/>
          <w:b/>
          <w:sz w:val="28"/>
          <w:szCs w:val="28"/>
        </w:rPr>
        <w:t>参考文献</w:t>
      </w:r>
    </w:p>
    <w:p>
      <w:pPr>
        <w:pStyle w:val="3"/>
        <w:spacing w:line="288" w:lineRule="auto"/>
        <w:rPr>
          <w:rFonts w:hint="eastAsia" w:hAnsi="宋体" w:cs="宋体"/>
        </w:rPr>
      </w:pPr>
      <w:r>
        <w:rPr>
          <w:rFonts w:hint="eastAsia" w:hAnsi="宋体" w:cs="宋体"/>
        </w:rPr>
        <w:t>[1] 樊崇义、吕萍，刑事诉讼法学</w:t>
      </w:r>
      <w:r>
        <w:rPr>
          <w:rFonts w:ascii="Times New Roman" w:hAnsi="Times New Roman" w:cs="Times New Roman"/>
        </w:rPr>
        <w:t>[M]</w:t>
      </w:r>
      <w:r>
        <w:rPr>
          <w:rFonts w:hint="eastAsia" w:hAnsi="宋体" w:cs="宋体"/>
        </w:rPr>
        <w:t>，中国人民公安大学出版社，</w:t>
      </w:r>
      <w:r>
        <w:rPr>
          <w:rFonts w:ascii="Times New Roman" w:hAnsi="Times New Roman" w:cs="Times New Roman"/>
        </w:rPr>
        <w:t>2002</w:t>
      </w:r>
      <w:r>
        <w:rPr>
          <w:rFonts w:hint="eastAsia" w:hAnsi="宋体" w:cs="宋体"/>
        </w:rPr>
        <w:t>.</w:t>
      </w:r>
    </w:p>
    <w:p>
      <w:pPr>
        <w:pStyle w:val="3"/>
        <w:spacing w:line="288" w:lineRule="auto"/>
        <w:rPr>
          <w:rFonts w:hint="eastAsia" w:hAnsi="宋体" w:cs="宋体"/>
        </w:rPr>
      </w:pPr>
      <w:r>
        <w:rPr>
          <w:rFonts w:hint="eastAsia" w:hAnsi="宋体" w:cs="宋体"/>
        </w:rPr>
        <w:t>[</w:t>
      </w:r>
      <w:r>
        <w:rPr>
          <w:rFonts w:hint="eastAsia" w:hAnsi="宋体" w:cs="宋体"/>
          <w:lang w:val="en-US" w:eastAsia="zh-CN"/>
        </w:rPr>
        <w:t>2</w:t>
      </w:r>
      <w:r>
        <w:rPr>
          <w:rFonts w:hint="eastAsia" w:hAnsi="宋体" w:cs="宋体"/>
        </w:rPr>
        <w:t>] 宋英辉，日本刑事诉讼法</w:t>
      </w:r>
      <w:r>
        <w:rPr>
          <w:rFonts w:ascii="Times New Roman" w:hAnsi="Times New Roman" w:cs="Times New Roman"/>
        </w:rPr>
        <w:t>[M]</w:t>
      </w:r>
      <w:r>
        <w:rPr>
          <w:rFonts w:hint="eastAsia" w:hAnsi="宋体" w:cs="宋体"/>
        </w:rPr>
        <w:t>，中国政法大学出版社，</w:t>
      </w:r>
      <w:r>
        <w:rPr>
          <w:rFonts w:ascii="Times New Roman" w:hAnsi="Times New Roman" w:cs="Times New Roman"/>
        </w:rPr>
        <w:t>2000</w:t>
      </w:r>
      <w:r>
        <w:rPr>
          <w:rFonts w:hint="eastAsia" w:hAnsi="宋体" w:cs="宋体"/>
        </w:rPr>
        <w:t>.</w:t>
      </w:r>
    </w:p>
    <w:p>
      <w:pPr>
        <w:pStyle w:val="3"/>
        <w:spacing w:line="288" w:lineRule="auto"/>
        <w:rPr>
          <w:rFonts w:hint="eastAsia" w:hAnsi="宋体" w:cs="宋体"/>
        </w:rPr>
      </w:pPr>
      <w:r>
        <w:rPr>
          <w:rFonts w:hint="eastAsia" w:hAnsi="宋体" w:cs="宋体"/>
        </w:rPr>
        <w:t>[</w:t>
      </w:r>
      <w:r>
        <w:rPr>
          <w:rFonts w:hint="eastAsia" w:hAnsi="宋体" w:cs="宋体"/>
          <w:lang w:val="en-US" w:eastAsia="zh-CN"/>
        </w:rPr>
        <w:t>3</w:t>
      </w:r>
      <w:r>
        <w:rPr>
          <w:rFonts w:hint="eastAsia" w:hAnsi="宋体" w:cs="宋体"/>
        </w:rPr>
        <w:t>] 左卫民，刑事程序问题研究</w:t>
      </w:r>
      <w:r>
        <w:rPr>
          <w:rFonts w:ascii="Times New Roman" w:hAnsi="Times New Roman" w:cs="Times New Roman"/>
        </w:rPr>
        <w:t>[M]</w:t>
      </w:r>
      <w:r>
        <w:rPr>
          <w:rFonts w:hint="eastAsia" w:hAnsi="宋体" w:cs="宋体"/>
        </w:rPr>
        <w:t>，中国政法大学出版社，</w:t>
      </w:r>
      <w:r>
        <w:rPr>
          <w:rFonts w:ascii="Times New Roman" w:hAnsi="Times New Roman" w:cs="Times New Roman"/>
        </w:rPr>
        <w:t>1999</w:t>
      </w:r>
      <w:r>
        <w:rPr>
          <w:rFonts w:hint="eastAsia" w:hAnsi="宋体" w:cs="宋体"/>
        </w:rPr>
        <w:t>.</w:t>
      </w:r>
    </w:p>
    <w:p>
      <w:pPr>
        <w:pStyle w:val="3"/>
        <w:spacing w:line="288" w:lineRule="auto"/>
        <w:rPr>
          <w:rFonts w:hint="eastAsia" w:hAnsi="宋体" w:cs="宋体"/>
        </w:rPr>
      </w:pPr>
    </w:p>
    <w:p>
      <w:pPr>
        <w:pStyle w:val="3"/>
        <w:spacing w:line="288" w:lineRule="auto"/>
        <w:rPr>
          <w:rFonts w:hint="eastAsia" w:hAnsi="宋体" w:cs="宋体"/>
        </w:rPr>
      </w:pPr>
    </w:p>
    <w:p>
      <w:pPr>
        <w:pStyle w:val="3"/>
        <w:spacing w:line="288" w:lineRule="auto"/>
        <w:jc w:val="right"/>
        <w:rPr>
          <w:rFonts w:hint="eastAsia" w:hAnsi="宋体" w:cs="宋体"/>
        </w:rPr>
      </w:pPr>
      <w:r>
        <w:rPr>
          <w:rFonts w:hint="eastAsia" w:hAnsi="宋体" w:cs="宋体"/>
        </w:rPr>
        <w:t>（责任编辑：袁小冬）</w:t>
      </w:r>
    </w:p>
    <w:p>
      <w:pPr>
        <w:pStyle w:val="3"/>
        <w:jc w:val="right"/>
        <w:rPr>
          <w:rFonts w:hAnsi="宋体" w:cs="宋体"/>
        </w:rPr>
      </w:pPr>
    </w:p>
    <w:p>
      <w:pPr>
        <w:pStyle w:val="3"/>
        <w:jc w:val="right"/>
        <w:rPr>
          <w:rFonts w:hAnsi="宋体" w:cs="宋体"/>
        </w:rPr>
      </w:pPr>
    </w:p>
    <w:p>
      <w:pPr>
        <w:pStyle w:val="3"/>
        <w:jc w:val="right"/>
        <w:rPr>
          <w:rFonts w:hAnsi="宋体" w:cs="宋体"/>
        </w:rPr>
      </w:pPr>
    </w:p>
    <w:p>
      <w:pPr>
        <w:pStyle w:val="3"/>
        <w:jc w:val="right"/>
        <w:rPr>
          <w:rFonts w:hAnsi="宋体" w:cs="宋体"/>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黑体" w:cs="Times New Roman"/>
          <w:b/>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黑体" w:cs="Times New Roman"/>
          <w:b/>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黑体" w:cs="Times New Roman"/>
          <w:b/>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黑体" w:cs="Times New Roman"/>
          <w:b/>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黑体" w:cs="Times New Roman"/>
          <w:b/>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黑体" w:cs="Times New Roman"/>
          <w:b/>
          <w:sz w:val="28"/>
          <w:szCs w:val="28"/>
          <w:lang w:eastAsia="zh-C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both"/>
        <w:textAlignment w:val="auto"/>
        <w:rPr>
          <w:rFonts w:hint="eastAsia" w:ascii="Times New Roman" w:hAnsi="Times New Roman" w:eastAsia="黑体" w:cs="Times New Roman"/>
          <w:b/>
          <w:sz w:val="28"/>
          <w:szCs w:val="28"/>
          <w:lang w:eastAsia="zh-CN"/>
        </w:rPr>
      </w:pPr>
    </w:p>
    <w:p>
      <w:pPr>
        <w:pStyle w:val="3"/>
        <w:jc w:val="both"/>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黑体" w:cs="Times New Roman"/>
          <w:b/>
          <w:sz w:val="28"/>
          <w:szCs w:val="28"/>
          <w:lang w:eastAsia="zh-CN"/>
        </w:rPr>
        <w:sectPr>
          <w:footerReference r:id="rId8" w:type="default"/>
          <w:footnotePr>
            <w:numFmt w:val="decimal"/>
            <w:numRestart w:val="eachPage"/>
          </w:footnotePr>
          <w:pgSz w:w="11906" w:h="16838"/>
          <w:pgMar w:top="1440" w:right="1800" w:bottom="1440" w:left="1800" w:header="851" w:footer="992" w:gutter="0"/>
          <w:pgNumType w:fmt="decimal" w:start="1"/>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黑体" w:cs="Times New Roman"/>
          <w:b/>
          <w:sz w:val="28"/>
          <w:szCs w:val="28"/>
          <w:lang w:eastAsia="zh-CN"/>
        </w:rPr>
      </w:pPr>
      <w:r>
        <w:rPr>
          <w:rFonts w:hint="eastAsia" w:ascii="Times New Roman" w:hAnsi="Times New Roman" w:eastAsia="黑体" w:cs="Times New Roman"/>
          <w:b/>
          <w:sz w:val="28"/>
          <w:szCs w:val="28"/>
          <w:lang w:eastAsia="zh-CN"/>
        </w:rPr>
        <w:t>行政行为说明理由的规范探析与展望</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rPr>
          <w:rFonts w:hint="eastAsia" w:ascii="Times New Roman" w:hAnsi="Times New Roman" w:eastAsia="黑体" w:cs="Times New Roman"/>
          <w:b/>
          <w:sz w:val="28"/>
          <w:szCs w:val="28"/>
          <w:lang w:eastAsia="zh-CN"/>
        </w:rPr>
      </w:pPr>
    </w:p>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Style w:val="12"/>
          <w:rFonts w:hint="eastAsia"/>
          <w:color w:val="auto"/>
          <w:sz w:val="21"/>
          <w:szCs w:val="21"/>
          <w:lang w:eastAsia="zh-CN"/>
        </w:rPr>
      </w:pPr>
      <w:r>
        <w:rPr>
          <w:rFonts w:hint="eastAsia" w:ascii="Times New Roman" w:hAnsi="Times New Roman" w:cs="Times New Roman"/>
          <w:bCs/>
          <w:szCs w:val="21"/>
          <w:lang w:eastAsia="zh-CN"/>
        </w:rPr>
        <w:t>潘春青</w:t>
      </w:r>
      <w:r>
        <w:rPr>
          <w:rStyle w:val="12"/>
          <w:rFonts w:hint="default" w:ascii="Times New Roman" w:hAnsi="Times New Roman" w:cs="Times New Roman"/>
          <w:szCs w:val="21"/>
        </w:rPr>
        <w:footnoteReference w:id="10" w:customMarkFollows="1"/>
        <w:t>*</w:t>
      </w:r>
    </w:p>
    <w:p>
      <w:pPr>
        <w:keepNext w:val="0"/>
        <w:keepLines w:val="0"/>
        <w:pageBreakBefore w:val="0"/>
        <w:kinsoku/>
        <w:wordWrap/>
        <w:overflowPunct/>
        <w:topLinePunct w:val="0"/>
        <w:autoSpaceDE/>
        <w:autoSpaceDN/>
        <w:bidi w:val="0"/>
        <w:spacing w:line="240" w:lineRule="auto"/>
        <w:ind w:left="0" w:leftChars="0" w:right="0" w:rightChars="0"/>
        <w:jc w:val="center"/>
        <w:textAlignment w:val="auto"/>
        <w:rPr>
          <w:rStyle w:val="12"/>
          <w:rFonts w:hint="eastAsia"/>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ascii="楷体_GB2312" w:hAnsi="楷体_GB2312" w:eastAsia="楷体_GB2312" w:cs="楷体_GB2312"/>
          <w:b w:val="0"/>
          <w:bCs w:val="0"/>
          <w:color w:val="auto"/>
          <w:sz w:val="21"/>
          <w:szCs w:val="21"/>
          <w:lang w:eastAsia="zh-CN"/>
        </w:rPr>
      </w:pPr>
      <w:r>
        <w:rPr>
          <w:rFonts w:hint="eastAsia" w:ascii="Times New Roman" w:hAnsi="Times New Roman" w:cs="Times New Roman"/>
          <w:b/>
          <w:sz w:val="21"/>
          <w:szCs w:val="21"/>
          <w:lang w:eastAsia="zh-CN"/>
        </w:rPr>
        <w:t>摘</w:t>
      </w:r>
      <w:r>
        <w:rPr>
          <w:rFonts w:hint="eastAsia" w:ascii="Times New Roman" w:hAnsi="Times New Roman" w:cs="Times New Roman"/>
          <w:b/>
          <w:sz w:val="21"/>
          <w:szCs w:val="21"/>
          <w:lang w:val="en-US" w:eastAsia="zh-CN"/>
        </w:rPr>
        <w:t xml:space="preserve">  </w:t>
      </w:r>
      <w:r>
        <w:rPr>
          <w:rFonts w:hint="eastAsia" w:ascii="Times New Roman" w:hAnsi="Times New Roman" w:cs="Times New Roman"/>
          <w:b/>
          <w:sz w:val="21"/>
          <w:szCs w:val="21"/>
          <w:lang w:eastAsia="zh-CN"/>
        </w:rPr>
        <w:t>要：</w:t>
      </w:r>
      <w:r>
        <w:rPr>
          <w:rFonts w:hint="eastAsia" w:ascii="Times New Roman" w:hAnsi="Times New Roman" w:eastAsia="楷体" w:cs="Times New Roman"/>
          <w:bCs/>
          <w:sz w:val="21"/>
          <w:szCs w:val="21"/>
          <w:lang w:eastAsia="zh-CN"/>
        </w:rPr>
        <w:t>本文通过对部分法律、地方政府规章的细致梳理，检索出涉及行政行为说明理由的</w:t>
      </w:r>
      <w:r>
        <w:rPr>
          <w:rFonts w:hint="eastAsia" w:ascii="Times New Roman" w:hAnsi="Times New Roman" w:eastAsia="楷体" w:cs="Times New Roman"/>
          <w:bCs/>
          <w:sz w:val="21"/>
          <w:szCs w:val="21"/>
          <w:lang w:val="en-US" w:eastAsia="zh-CN"/>
        </w:rPr>
        <w:t>18部</w:t>
      </w:r>
      <w:r>
        <w:rPr>
          <w:rFonts w:hint="eastAsia" w:ascii="Times New Roman" w:hAnsi="Times New Roman" w:eastAsia="楷体" w:cs="Times New Roman"/>
          <w:bCs/>
          <w:sz w:val="21"/>
          <w:szCs w:val="21"/>
          <w:lang w:eastAsia="zh-CN"/>
        </w:rPr>
        <w:t>规范，经过对行政行为说明理由法条内容的分类探析，笔者提出了对行政程序法行政行为说明理由部分设计的展望，以期为行政程序法的制定提供借鉴。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ascii="Times New Roman" w:hAnsi="Times New Roman" w:eastAsia="楷体" w:cs="Times New Roman"/>
          <w:bCs/>
          <w:sz w:val="21"/>
          <w:szCs w:val="21"/>
          <w:lang w:val="en-US" w:eastAsia="zh-CN"/>
        </w:rPr>
      </w:pPr>
      <w:r>
        <w:rPr>
          <w:rFonts w:hint="eastAsia"/>
          <w:b/>
          <w:bCs/>
          <w:color w:val="auto"/>
          <w:sz w:val="21"/>
          <w:szCs w:val="21"/>
          <w:lang w:eastAsia="zh-CN"/>
        </w:rPr>
        <w:t>关键词：</w:t>
      </w:r>
      <w:r>
        <w:rPr>
          <w:rFonts w:hint="eastAsia" w:ascii="Times New Roman" w:hAnsi="Times New Roman" w:eastAsia="楷体" w:cs="Times New Roman"/>
          <w:bCs/>
          <w:sz w:val="21"/>
          <w:szCs w:val="21"/>
          <w:lang w:eastAsia="zh-CN"/>
        </w:rPr>
        <w:t>行政行为</w:t>
      </w:r>
      <w:r>
        <w:rPr>
          <w:rFonts w:hint="eastAsia" w:eastAsia="楷体" w:cs="Times New Roman"/>
          <w:bCs/>
          <w:sz w:val="21"/>
          <w:szCs w:val="21"/>
          <w:lang w:val="en-US" w:eastAsia="zh-CN"/>
        </w:rPr>
        <w:t xml:space="preserve">  </w:t>
      </w:r>
      <w:r>
        <w:rPr>
          <w:rFonts w:hint="eastAsia" w:ascii="Times New Roman" w:hAnsi="Times New Roman" w:eastAsia="楷体" w:cs="Times New Roman"/>
          <w:bCs/>
          <w:sz w:val="21"/>
          <w:szCs w:val="21"/>
          <w:lang w:val="en-US" w:eastAsia="zh-CN"/>
        </w:rPr>
        <w:t>说明理由  规范探析  展望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imes New Roman" w:hAnsi="Times New Roman" w:eastAsia="楷体" w:cs="Times New Roman"/>
          <w:bCs/>
          <w:szCs w:val="21"/>
          <w:lang w:val="en-US" w:eastAsia="zh-CN"/>
        </w:rPr>
      </w:pPr>
    </w:p>
    <w:p>
      <w:pPr>
        <w:keepNext w:val="0"/>
        <w:keepLines w:val="0"/>
        <w:pageBreakBefore w:val="0"/>
        <w:numPr>
          <w:ilvl w:val="0"/>
          <w:numId w:val="0"/>
        </w:numPr>
        <w:kinsoku/>
        <w:wordWrap/>
        <w:overflowPunct/>
        <w:topLinePunct w:val="0"/>
        <w:autoSpaceDE/>
        <w:autoSpaceDN/>
        <w:bidi w:val="0"/>
        <w:spacing w:line="240" w:lineRule="auto"/>
        <w:ind w:right="0" w:rightChars="0"/>
        <w:jc w:val="center"/>
        <w:textAlignment w:val="auto"/>
        <w:rPr>
          <w:rFonts w:hint="eastAsia" w:ascii="Times New Roman" w:hAnsi="Times New Roman" w:cs="Times New Roman"/>
          <w:szCs w:val="21"/>
          <w:lang w:val="en-US" w:eastAsia="zh-CN"/>
        </w:rPr>
      </w:pPr>
      <w:r>
        <w:rPr>
          <w:rFonts w:hint="eastAsia" w:ascii="黑体" w:hAnsi="黑体" w:eastAsia="黑体" w:cs="黑体"/>
          <w:b/>
          <w:bCs/>
          <w:color w:val="auto"/>
          <w:sz w:val="28"/>
          <w:szCs w:val="28"/>
          <w:lang w:val="en-US" w:eastAsia="zh-CN"/>
        </w:rPr>
        <w:t>一、行政行为说明理由界定</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color w:val="auto"/>
          <w:sz w:val="21"/>
          <w:szCs w:val="21"/>
          <w:lang w:val="en-US" w:eastAsia="zh-CN"/>
        </w:rPr>
      </w:pPr>
      <w:r>
        <w:rPr>
          <w:rFonts w:hint="eastAsia" w:ascii="Times New Roman" w:hAnsi="Times New Roman" w:cs="Times New Roman"/>
          <w:szCs w:val="21"/>
          <w:lang w:val="en-US" w:eastAsia="zh-CN"/>
        </w:rPr>
        <w:t>行政行为说明理由指的是行政机关实施有可能会侵犯到相对人利益的行政行为时，需将其行使行政权的依据、事实、理由告知相对人。“说明理由制度作为正当程序的基本要求之一，承载着制约行政裁量权与保证行政决定理性、营造商谈对话环境与促进民主行政实现、创造司法审查便利条件与保障相对人合法权益等诸多价值功能。”</w:t>
      </w:r>
      <w:r>
        <w:rPr>
          <w:rStyle w:val="12"/>
          <w:rFonts w:hint="eastAsia" w:ascii="Times New Roman" w:hAnsi="Times New Roman" w:cs="Times New Roman"/>
          <w:color w:val="auto"/>
          <w:sz w:val="21"/>
          <w:szCs w:val="21"/>
          <w:lang w:val="en-US" w:eastAsia="zh-CN"/>
        </w:rPr>
        <w:t>[</w:t>
      </w:r>
      <w:r>
        <w:rPr>
          <w:rStyle w:val="12"/>
          <w:rFonts w:hint="eastAsia" w:ascii="Times New Roman" w:hAnsi="Times New Roman" w:cs="Times New Roman"/>
          <w:color w:val="auto"/>
          <w:sz w:val="21"/>
          <w:szCs w:val="21"/>
          <w:lang w:val="en-US" w:eastAsia="zh-CN"/>
        </w:rPr>
        <w:footnoteReference w:id="11"/>
      </w:r>
      <w:r>
        <w:rPr>
          <w:rStyle w:val="12"/>
          <w:rFonts w:hint="eastAsia" w:ascii="Times New Roman" w:hAnsi="Times New Roman" w:cs="Times New Roman"/>
          <w:color w:val="auto"/>
          <w:sz w:val="21"/>
          <w:szCs w:val="21"/>
          <w:lang w:val="en-US" w:eastAsia="zh-CN"/>
        </w:rPr>
        <w:t>]</w:t>
      </w:r>
      <w:r>
        <w:rPr>
          <w:rFonts w:hint="eastAsia" w:ascii="Times New Roman" w:hAnsi="Times New Roman" w:cs="Times New Roman"/>
          <w:szCs w:val="21"/>
          <w:lang w:val="en-US" w:eastAsia="zh-CN"/>
        </w:rPr>
        <w:t>正是因为其具有诸多价值功能，我们认为行政行为说明理由是保障公民权利，约束行政机关权力的重要举措，是我国行政程序法的重要组成部分。行政行为说明理由在我国法律法规规章中的表现形式以及其在行政程序法中的设计问题是本文探讨的重点</w:t>
      </w:r>
      <w:r>
        <w:rPr>
          <w:rFonts w:hint="eastAsia"/>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center"/>
        <w:textAlignment w:val="auto"/>
        <w:outlineLvl w:val="9"/>
        <w:rPr>
          <w:rFonts w:hint="eastAsia" w:ascii="Times New Roman" w:hAnsi="Times New Roman" w:cs="Times New Roman"/>
          <w:szCs w:val="21"/>
          <w:lang w:val="en-US" w:eastAsia="zh-CN"/>
        </w:rPr>
      </w:pPr>
      <w:r>
        <w:rPr>
          <w:rFonts w:hint="eastAsia" w:ascii="黑体" w:hAnsi="黑体" w:eastAsia="黑体" w:cs="黑体"/>
          <w:b/>
          <w:bCs/>
          <w:color w:val="auto"/>
          <w:sz w:val="28"/>
          <w:szCs w:val="28"/>
          <w:lang w:val="en-US" w:eastAsia="zh-CN"/>
        </w:rPr>
        <w:t>二、行政行为说明理由的法律渊源</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color w:val="auto"/>
          <w:sz w:val="21"/>
          <w:szCs w:val="21"/>
          <w:lang w:val="en-US" w:eastAsia="zh-CN"/>
        </w:rPr>
      </w:pPr>
      <w:r>
        <w:rPr>
          <w:rFonts w:hint="eastAsia" w:ascii="Times New Roman" w:hAnsi="Times New Roman" w:cs="Times New Roman"/>
          <w:szCs w:val="21"/>
          <w:lang w:val="en-US" w:eastAsia="zh-CN"/>
        </w:rPr>
        <w:t>行政行为说明理由的法律渊源，指的是行政行为说明理由的法律表现形式，即中国哪些法律条文中存在有关行政行为说明理由的规定。笔者不全面整理检索到10部</w:t>
      </w:r>
      <w:r>
        <w:rPr>
          <w:rStyle w:val="12"/>
          <w:rFonts w:hint="default" w:ascii="Times New Roman" w:hAnsi="Times New Roman" w:cs="Times New Roman"/>
          <w:color w:val="auto"/>
          <w:sz w:val="21"/>
          <w:szCs w:val="21"/>
          <w:lang w:val="en-US" w:eastAsia="zh-CN"/>
        </w:rPr>
        <w:t>[</w:t>
      </w:r>
      <w:r>
        <w:rPr>
          <w:rStyle w:val="12"/>
          <w:rFonts w:hint="default" w:ascii="Times New Roman" w:hAnsi="Times New Roman" w:cs="Times New Roman"/>
          <w:color w:val="auto"/>
          <w:sz w:val="21"/>
          <w:szCs w:val="21"/>
          <w:lang w:val="en-US" w:eastAsia="zh-CN"/>
        </w:rPr>
        <w:footnoteReference w:id="12"/>
      </w:r>
      <w:r>
        <w:rPr>
          <w:rStyle w:val="12"/>
          <w:rFonts w:hint="default" w:ascii="Times New Roman" w:hAnsi="Times New Roman" w:cs="Times New Roman"/>
          <w:color w:val="auto"/>
          <w:sz w:val="21"/>
          <w:szCs w:val="21"/>
          <w:lang w:val="en-US" w:eastAsia="zh-CN"/>
        </w:rPr>
        <w:t>]</w:t>
      </w:r>
      <w:r>
        <w:rPr>
          <w:rFonts w:hint="eastAsia" w:ascii="Times New Roman" w:hAnsi="Times New Roman" w:cs="Times New Roman"/>
          <w:szCs w:val="21"/>
          <w:lang w:val="en-US" w:eastAsia="zh-CN"/>
        </w:rPr>
        <w:t>有关行政行为说明理由的法律规定，法条内容分析如下：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color w:val="auto"/>
          <w:sz w:val="21"/>
          <w:szCs w:val="21"/>
          <w:lang w:val="en-US" w:eastAsia="zh-CN"/>
        </w:rPr>
      </w:pPr>
      <w:r>
        <w:rPr>
          <w:rFonts w:hint="eastAsia"/>
          <w:b/>
          <w:bCs/>
          <w:color w:val="auto"/>
          <w:sz w:val="24"/>
          <w:szCs w:val="24"/>
          <w:lang w:val="en-US" w:eastAsia="zh-CN"/>
        </w:rPr>
        <w:t>理由表现模式归类</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行政行为说明理由在法律条文中的表现可以归为三种模式。一种是行政许可模式，即此项活动法律本身是禁止的，只有申请人向有关机关提出申请，并且经审查其符合法律规定的条件后，授予其从事某项活动的资格，但当有关机关不授予申请人从事某项活动的权力时，则需要向申请人说明理由。有关的法律规定有《中华人民共和国慈善法》第十条第一款规定“设立慈善组织，应当向县级以上人民政府民政部门申请登记，民政部门应当自受理申请之日起三十日内作出决定。符合本法规定条件的，准予登记并向社会公告；不符合本法规定条件的，不予登记并书面说明理由。”《中华人民共和国证券投资基金法》第十四条第一款规定“国务院证券监督管理机构应当自受理基金管理公司设立申请之日起六个月内依照本法第十三条规定的条件和审慎监管原则进行审查，作出批准或者不予批准的决定，并通知申请人；不予批准的，应当说明理由。”《中华人民共和国食品安全法(2015修订)》第三十五条规定“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另一种是行政处罚模式，即行政相对人的行为违反法律法规的规定，行政机关依职权需对相对人给予不利处置，此时行政机关需要向行政相对人说明给予其不利处置的理由。有关的法律规定有《中华人民共和国行政处罚法(2009修正)》第三十一条规定“行政机关在作出行政处罚决定之前，应当告知当事人作出行政处罚决定的事实、理由及依据，并告知当事人依法享有的权利。”《中华人民共和国治安管理处罚法(2012修正)》第九十四条第一款规定“公安机关作出治安管理处罚决定前，应当告知违反治安管理行为人作出治安管理处罚的事实、理由及依据，并告知违反治安管理行为人依法享有的权利。”《中华人民共和国行政强制法》第二十四条规定“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第三种是建议行政模式，即公民、法人或其他组织以当事人或第三人的身份向行政机关提出申诉、建议、检举、举报，行政机关认为其所述不符合法律规定的，应向当事人或第三人说明理由。有关的法律条文有《中华人民共和国治安管理处罚法(2012修正)》第七十八条规定“公安机关受理报案、控告、举报、投案后，认为属于违反治安管理行为的，应当立即进行调查；认为不属于违反治安管理行为的，应当告知报案人、控告人、举报人、投案人，并说明理由”。以上是以引起行政机关说明理由的前提不同为标准对行政行为说明理由法条内容的分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color w:val="auto"/>
          <w:sz w:val="24"/>
          <w:szCs w:val="24"/>
          <w:lang w:val="en-US" w:eastAsia="zh-CN"/>
        </w:rPr>
      </w:pPr>
      <w:r>
        <w:rPr>
          <w:rFonts w:hint="eastAsia"/>
          <w:b/>
          <w:bCs/>
          <w:color w:val="auto"/>
          <w:sz w:val="24"/>
          <w:szCs w:val="24"/>
          <w:lang w:val="en-US" w:eastAsia="zh-CN"/>
        </w:rPr>
        <w:t>（二）理由说明方式分类</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有关行政行为说明理由的方式，法律条文分为了三种情况。其一法条中明文规定要求行政机关以书面形式说明理由，有关的法律规定有《中华人民共和国慈善法》第十条第二款规定“本法公布前已经设立的基金会、社会团体、社会服务机构等非营利性组织，可以向其登记的民政部门申请认定为慈善组织，民政部门应当自受理申请之日起二十日内作出决定。符合慈善组织条件的，予以认定并向社会公告；不符合慈善组织条件的，不予认定并书面说明理由。”《中华人民共和国食品安全法(2015修订)》第三十七条规定“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并公布；对不符合食品安全要求的，不予许可并书面说明理由。”《中华人民共和国政府信息公开条例》第二十三条规定“行政机关认为申请公开的政府信息涉及商业秘密、个人隐私，公开后可能损害第三方合法权益的，应当书面征求第三方的意见；第三方不同意公开的，不得公开。但是，行政机关认为不公开可能对公共利益造成重大影响的，应当予以公开，并将决定公开的政府信息内容和理由书面通知第三方”。其二法条中未明文规定要求行政机关以书面形式说明理由，但能够从前文中推定出，有关的法律规定有《中华人民共和国行政强制法》第二十五条规定“查封、扣押的期限不得超过三十日；情况复杂的，经行政机关负责人批准，可以延长，但是延长期限不得超过三十日。法律、行政法规另有规定的除外。延长查封、扣押的决定应当及时书面告知当事人，并说明理由。”《中华人民共和国行政强制法》第三十二条规定“自冻结存款、汇款之日起三十日内，行政机关应当作出处理决定或者作出解除冻结决定；情况复杂的，经行政机关负责人批准，可以延长，但是延长期限不得超过三十日。法律另有规定的除外。延长冻结的决定应当及时书面告知当事人，并说明理由。”《中华人民共和国国家赔偿法(2012修正)》第十三条第三款规定“赔偿义务机关决定不予赔偿的，应当自作出决定之日起十日内书面通知赔偿请求人，并说明不予赔偿的理由”。其三法条中未明文规定要求行政机关说明理由的方式，从上下文中亦无法推定行政机关说明理由的方式，有关的法律规定有《中华人民共和国证券投资基金法》第十四条第二款规定“基金管理公司变更持有百分之五以上股权的股东，变更公司的实际控制人，或者变更其他重大事项，应当报经国务院证券监督管理机构批准。国务院证券监督管理机构应当自受理申请之日起六十日内作出批准或者不予批准的决定，并通知申请人；不予批准的，应当说明理由。”《中华人民共和国行政许可法》第四十二条第一款规定“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中华人民共和国道路交通安全法(2011修正)》第九条第二款规定“公安机关交通管理部门应当自受理申请之日起五个工作日内完成机动车登记审查工作，对符合前款规定条件的，应当发放机动车登记证书、号牌和行驶证；对不符合前款规定条件的，应当向申请人说明不予登记的理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color w:val="auto"/>
          <w:sz w:val="24"/>
          <w:szCs w:val="24"/>
          <w:lang w:val="en-US" w:eastAsia="zh-CN"/>
        </w:rPr>
      </w:pPr>
      <w:r>
        <w:rPr>
          <w:rFonts w:hint="eastAsia"/>
          <w:b/>
          <w:bCs/>
          <w:color w:val="auto"/>
          <w:sz w:val="24"/>
          <w:szCs w:val="24"/>
          <w:lang w:val="en-US" w:eastAsia="zh-CN"/>
        </w:rPr>
        <w:t>（三）后续程序规定不一</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法律条文中对行政行为说明理由的后续程序陈述、申辩权规定不一致，部分法律条文规定了针对行政机关说明理由行为，相对人有陈述、申辩权，以回应行政机关的行政行为，保障公权力行使的权威性，有关的法律规定有《中华人民共和国行政处罚法(2009修正)》第四十一条规定“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 《中华人民共和国行政强制法》第十八条规定“行政机关实施行政强制措施应当遵守下列规定：（一）实施前须向行政机关负责人报告并经批准；……（五）当场告知当事人采取行政强制措施的理由、依据以及当事人依法享有的权利、救济途径；（六）听取当事人的陈述和申辩；……（十）法律、法规规定的其他程序。”《中华人民共和国治安管理处罚法(2012修正)》第九十四条规定“公安机关作出治安管理处罚决定前，应当告知违反治安管理行为人作出治安管理处罚的事实、理由及依据，并告知违反治安管理行为人依法享有的权利。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公安机关不得因违反治安管理行为人的陈述、申辩而加重处罚”。部分法律条文中虽规定了行政行为说明理由但未说明相对人有陈述、申辩权，有关的法律规定有《中华人民共和国慈善法》第二十二条第一款“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中华人民共和国证券投资基金法》第五十四条规定“国务院证券监督管理机构应当自受理公开募集基金的募集注册申请之日起六个月内依照法律、行政法规及国务院证券监督管理机构的规定进行审查，作出注册或者不予注册的决定，并通知申请人；不予注册的，应当说明理由。”《中华人民共和国食品安全法(2015修订)》第七十七条第一款“依法应当注册的保健食品，注册时应当提交保健食品的研发报告、产品配方、生产工艺、安全性和保健功能评价、标签、说明书等材料及样品，并提供相关证明文件。国务院食品药品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以上是对行政相对人针对行政机关说明理由行为的陈述、申辩权的法律条文分析，对行政行为说明理由的内容完善具有重要意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imes New Roman" w:hAnsi="Times New Roman" w:cs="Times New Roman"/>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center"/>
        <w:textAlignment w:val="auto"/>
        <w:outlineLvl w:val="9"/>
        <w:rPr>
          <w:rFonts w:hint="eastAsia" w:ascii="Times New Roman" w:hAnsi="Times New Roman" w:cs="Times New Roman"/>
          <w:szCs w:val="21"/>
          <w:lang w:val="en-US" w:eastAsia="zh-CN"/>
        </w:rPr>
      </w:pPr>
      <w:r>
        <w:rPr>
          <w:rFonts w:hint="eastAsia" w:ascii="黑体" w:hAnsi="黑体" w:eastAsia="黑体" w:cs="黑体"/>
          <w:b/>
          <w:bCs/>
          <w:color w:val="auto"/>
          <w:sz w:val="28"/>
          <w:szCs w:val="28"/>
          <w:lang w:val="en-US" w:eastAsia="zh-CN"/>
        </w:rPr>
        <w:t>三、行政行为说明理由的地方政府规章渊源</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行政行为说明理由的地方政府规章渊源指的是地方政府规章中有关行政行为说明理由的规定，因行政行为说明理由是行政程序法中的制度，此处我们重点关注的是地方政府规章中的行政程序规定，截止于作者撰稿日2016年9月9日我国已经出台的地方行政程序规定有8部</w:t>
      </w:r>
      <w:r>
        <w:rPr>
          <w:rStyle w:val="12"/>
          <w:rFonts w:hint="eastAsia" w:ascii="Times New Roman" w:hAnsi="Times New Roman" w:cs="Times New Roman"/>
          <w:color w:val="auto"/>
          <w:sz w:val="21"/>
          <w:szCs w:val="21"/>
          <w:lang w:val="en-US" w:eastAsia="zh-CN"/>
        </w:rPr>
        <w:t>[</w:t>
      </w:r>
      <w:r>
        <w:rPr>
          <w:rStyle w:val="12"/>
          <w:rFonts w:hint="eastAsia" w:ascii="Times New Roman" w:hAnsi="Times New Roman" w:cs="Times New Roman"/>
          <w:color w:val="auto"/>
          <w:sz w:val="21"/>
          <w:szCs w:val="21"/>
          <w:lang w:val="en-US" w:eastAsia="zh-CN"/>
        </w:rPr>
        <w:footnoteReference w:id="13"/>
      </w:r>
      <w:r>
        <w:rPr>
          <w:rStyle w:val="12"/>
          <w:rFonts w:hint="eastAsia" w:ascii="Times New Roman" w:hAnsi="Times New Roman" w:cs="Times New Roman"/>
          <w:color w:val="auto"/>
          <w:sz w:val="21"/>
          <w:szCs w:val="21"/>
          <w:lang w:val="en-US" w:eastAsia="zh-CN"/>
        </w:rPr>
        <w:t>]</w:t>
      </w:r>
      <w:r>
        <w:rPr>
          <w:rFonts w:hint="eastAsia" w:ascii="Times New Roman" w:hAnsi="Times New Roman" w:cs="Times New Roman"/>
          <w:szCs w:val="21"/>
          <w:lang w:val="en-US" w:eastAsia="zh-CN"/>
        </w:rPr>
        <w:t>，对其中行政行为说明理由条文的有关分析如下：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color w:val="auto"/>
          <w:sz w:val="24"/>
          <w:szCs w:val="24"/>
          <w:lang w:val="en-US" w:eastAsia="zh-CN"/>
        </w:rPr>
      </w:pPr>
      <w:r>
        <w:rPr>
          <w:rFonts w:hint="eastAsia"/>
          <w:b/>
          <w:bCs/>
          <w:color w:val="auto"/>
          <w:sz w:val="24"/>
          <w:szCs w:val="24"/>
          <w:lang w:val="en-US" w:eastAsia="zh-CN"/>
        </w:rPr>
        <w:t>（一）理由适用事实有异</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地方行政程序规定中对行政行为说明理由适用的法律事实规定不同，存在三种情况。第一，行政机关请专家或公众对决策提出建议，对于没有接受的建议，应说明理由，此举是鼓励公民、法人或其他组织积极参与国家管理，增强主人翁意识，有关的程序规定有《汕头市行政程序规定》第三十九条规定“决策承办单位应当组织专家或者研究咨询机构对重大行政决策方案草案进行必要性、可行性、科学性论证。决策承办单位应当对专家论证意见归类整理，对合理意见应当予以采纳；未予采纳的，应当说明理由。”第四十条规定“重大行政决策方案草案公布后，决策承办单位应当根据重大行政决策对公众影响的范围、程度等采取座谈会、协商会、开放式听取意见等方式，广泛听取社会各界的意见和建议。决策承办单位应当将公众对重大行政决策的意见和建议进行归类整理，对公众提出的合理意见应当采纳；未予采纳的，应当说明理由。”《江苏省行政程序规定》第三十三条规定“决策事项承办单位应当将公众对决策方案草案的意见和建议进行归类整理，对公众提出的合理意见应当采纳；未予采纳的，应当以适当方式说明理由。”《山东省行政程序规定》第三十一条规定“决策事项承办单位应当根据重大行政决策对公众影响的范围和程度，采用座谈会、论证会和互联网发布等形式广泛听取公众意见，对合理意见应当予以采纳；未予采纳的，应当以适当方式说明理由。”《湖南省行政程序规定》第三十六条第四款规定“决策承办单位应当对专家论证意见归类整理，对合理意见应当予以采纳；未予采纳的，应当说明理由。专家论证意见及采纳情况应当向社会公布。”第三十七条第二款规定“决策承办单位应当将公众对重大行政决策的意见和建议进行归类整理，对公众提出的合理意见应当采纳；未予采纳的，应当说明理由。公众意见及采纳情况应向社会公布。”《海口市行政程序规定》第三十三条规定“决策事项承办单位应当组织专家或者研究咨询机构对重大行政决策方案的必要性、可行性、科学性及合法性进行论证。决策事项承办单位应当对专家论证意见归类整理，对合理意见应当予以采纳；未予采纳的，应当说明理由。”《兰州市行政程序规定》第十八条规定“对事关经济社会发展全局、影响经济社会长远发展或者技术含量高、专业性强的事项，决策承办单位应当组织专家或者研究咨询机构对重大行政决策方案的必要性、可行性、科学性及合法性进行论证。专家论证意见应当作为政府决策的重要依据。决策事项承办单位应当对专家论证意见归类整理，对合理意见应当予以采纳；未予采纳的，应当说明理由。”第十九条规定“决策事项承办单位应当根据重大行政决策对公众影响的范围和程度，采取书面征求意见、发放调查问卷、召开座谈会、举行听证会、专家咨询论证、公示等方式广泛听取公众意见，对合理意见应当予以采纳；未予采纳的，应当以适当方式说明理由”。第二，行政机关作出影响当事人合法权益或者增加其义务的行政行为时应说明理由，此处规定内容较为宽泛，对公民、法人或其他组织的保护更为全面，有关的程序规定有《汕头市行政程序规定》第五十六条第二款规定“行政机关作出影响当事人、利害关系人合法权益或者增加其义务的行政执法决定前，应当告知行政执法决定的事实、理由和依据；当事人、利害关系人有权陈述和申辩。行政机关作出行政执法决定，应当依法告知行政复议或者行政诉讼的权利、期限和途径。”《江苏省行政程序规定》第六十一条规定“行政执法决定限制公民、法人和其他组织权利或者增加其义务的，应当说明决定的理由。”《山东省行政程序规定》第九条规定“行政机关实施行政行为，可能影响公民、法人和其他组织合法权益的，除法定情形外，应当书面告知其事实、理由、依据，陈述权、申辩权，以及行政救济的途径、方式和期限。”《西安市行政程序规定》第六条规定“行政机关实施行政行为，可能影响公民、法人或者其他组织合法权益的，除法律规定的特别情况外，应当事前向其告知，说明做出行政行为的依据和理由，并听取其陈述和申辩”。第三，一方当事人向行政机关申请调解，另一方当事人不同意或不符合法律规定，调解无法进行，行政机关需要向申请人说明理由，有关的程序规定有《汕头市行政程序规定》第一百二十四条规定“行政机关收到公民、法人或者其他组织请求调解民事纠纷的申请后，经审查符合条件的，应当及时告知民事纠纷另一方；另一方同意调解的，应当受理并组织调解。不符合条件或者一方不同意调解的不予受理，并向申请人说明理由。”《江苏省行政程序规定》第九十二条规定“行政机关收到公民、法人或者其他组织请求调解民事纠纷的申请后，经审查符合条件的，应当及时告知民事纠纷另一方；另一方同意调解的，应当受理并组织调解。不符合条件或者一方不同意调解的不予受理，并向申请人说明理由。”《湖南省行政程序规定》第一百一十八条规定“行政机关收到公民、法人或者其他组织请求调解民事纠纷的申请后，经审查符合条件的，应当及时告知民事纠纷另一方；另一方同意调解的，应当受理并组织调解。不符合条件或者一方不同意调解的不予受理，并向申请人说明理由。”《西安市行政程序规定》第一百零九条“行政机关收到公民、法人或者其他组织提出的行政调解申请后，经审查符合条件的，应当五日内告知被申请人；被申请人同意调解的，应当受理并组织调解。不符合条件或者一方不同意调解的不予受理，并向申请人说明理由。”《宁夏回族自治区行政程序规定》第九十四条规定“行政机关接到当事人要求调解的申请后，经审查认为符合受理条件的，应当及时受理；不予受理的，应当向当事人说明理由。调解应当制作笔录，并在三十日内调解完毕”。以上是以行政行为说明理由适用的法律事实为标准对地方行政程序规定中行政行为说明理由规范条文的简单表述。</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color w:val="auto"/>
          <w:sz w:val="24"/>
          <w:szCs w:val="24"/>
          <w:lang w:val="en-US" w:eastAsia="zh-CN"/>
        </w:rPr>
      </w:pPr>
      <w:r>
        <w:rPr>
          <w:rFonts w:hint="eastAsia"/>
          <w:b/>
          <w:bCs/>
          <w:color w:val="auto"/>
          <w:sz w:val="24"/>
          <w:szCs w:val="24"/>
          <w:lang w:val="en-US" w:eastAsia="zh-CN"/>
        </w:rPr>
        <w:t>理由陈述方式统一</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地方行政程序规定中对行政机关说明理由方式的规定较为统一，基本方式为以书面为主，当出现紧急情形时，方可使用口头方式，但法律规定以书面形式的除外，体现国家对公民权利的尊重，有关的程序规定有《汕头市行政程序规定》第五十六条第一款规定“行政机关在行政执法过程中应当依法履行告知义务。行政执法告知应当采用书面形式；情况紧急时，可以采用口头等其他方式，但依法应当采取书面形式告知的除外。”《江苏省行政程序规定》第四十六条第二款规定“行政执法的告知应当采用书面形式。情况紧急时，可以采用口头等其他方式。但是依法应当采取书面形式告知的除外。”《湖南省行政程序规定》第六十二条第二款规定“行政执法的告知应当采用书面形式。情况紧急时，可以采用口头等其他方式。但法律、法规、规章规定必须采取书面形式告知的除外。”《海口市行政程序规定》第四十六条第三款规定“行政执法告知应当采用书面形式；情况紧急时，可以采用口头等其他方式，但依法应当采取书面形式告知的除外。”《宁夏回族自治区行政程序规定》第八条规定“行政机关行使行政职权可能影响公民、法人和其他组织合法权益的，除法定情形外，应当书面告知其事实、理由、依据及其依法享有的陈述权、申辩权、救济途径、方式和期限”。另地方行政程序规定中对简易程序行政行为说明理由的方式有特别规定，与基本规定方式不同，允许行政机关以口头形式说明，有关的行政程序规定有《汕头市行政程序规定》第八十条规定“对适用简易程序的事项，行政执法人员可以口头告知当事人行政执法决定的事实、依据和理由，并当场听取当事人的陈述与申辩。当事人提出的事实、理由或者证据成立的，行政执法人员应当采纳；不采纳的应当说明理由。”《江苏省行政程序规定》第七十条规定“行政机关对适用简易程序的事项可以口头告知当事人行政执法决定的事实、依据和理由，并当场听取当事人的陈述与申辩。当事人提出的事实、理由或者证据成立的，行政机关应当采纳；不采纳的应当说明理由。”《山东省行政程序规定》第八十八条规定“行政机关依职权启动行政执法程序的，对事实清楚、当场可以查实、有法定依据且对当事人合法权益影响较小的事项，行政机关可以适用简易程序，当场告知当事人行政执法决定的事实、理由和依据，听取当事人的陈述与申辩，当场作出行政执法决定，并在5日内报所属行政机关备案。”《湖南省行政程序规定》第八十八条规定“行政机关对适用简易程序的事项可以口头告知当事人行政执法决定的事实、依据和理由，并当场听取当事人的陈述与申辩。当事人提出的事实、理由或者证据成立的，行政机关应当采纳。不采纳的应当说明理由。”《海口市行政程序规定》第七十八条规定“对适用简易程序的事项，行政机关执法人员可以口头告知当事人行政执法决定的事实、依据和理由，并当场听取当事人的陈述与申辩。当事人提出的事实、理由或者证据成立的，行政执法人员应当采纳；不采纳的应当说明理由。”《兰州市行政程序规定》第六十九条规定“行政机关对适用简易程序的事项可以口头告知当事人行政执法决定的事实、依据和理由，并当场听取当事人的陈述与申辩。当事人提出的事实、理由或者证据成立的，行政机关应当采纳。不采纳的应当说明理由。”《宁夏回族自治区行政程序规定》第四十九条规定“行政机关依职权启动行政执法程序的，对事实清楚、当场可以查实且有法定依据的事项，可以依法适用简易程序，当场告知当事人行政执法决定的事实、理由和依据，听取当事人的陈述与申辩，当场作出行政执法决定”。以上是对地方行政程序规定中行政机关说明理由方式规范条文的简单陈述。</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color w:val="auto"/>
          <w:sz w:val="24"/>
          <w:szCs w:val="24"/>
          <w:lang w:val="en-US" w:eastAsia="zh-CN"/>
        </w:rPr>
      </w:pPr>
      <w:r>
        <w:rPr>
          <w:rFonts w:hint="eastAsia"/>
          <w:b/>
          <w:bCs/>
          <w:color w:val="auto"/>
          <w:sz w:val="24"/>
          <w:szCs w:val="24"/>
          <w:lang w:val="en-US" w:eastAsia="zh-CN"/>
        </w:rPr>
        <w:t>不说明理由情形</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地方行政程序规定中不仅对行政行为说明理由内容详尽表述，对行政机关可以不说明理由的情形也有所规定，如《山东省行政程序规定》第八十七条规定“有下列情形之一的，行政执法决定可以不说明理由：（一）行政执法决定有利于当事人的，但是第三人提出异议的情形除外；（二）情况紧急，行政机关无法说明理由的；（三）涉及国家秘密、商业秘密、个人隐私的；（四）有关资格考试、专门知识的；（五）法律、行政法规规定可以不说明理由的其他情形。有前款第二项情形，当事人自行政执法决定送达之日起30日内要求行政机关书面说明理由的，行政机关应当书面说明。”《兰州市行政程序规定》第六十四条规定“有下列情形之一的，行政执法决定可以不说明理由：（一）行政执法决定有利于当事人的，但是第三人提出异议的情形除外；（二）情况紧急，行政机关无法说明理由的；（三）涉及国家秘密、商业秘密、个人隐私的；（四）有关资格考试、专门知识的；（五）法律、行政法规规定可以不说明理由的其他情形。有前款第二项情形，当事人自行政执法决定送达之日起30日内要求行政机关书面说明理由的，行政机关应当书面说明。”《宁夏回族自治区行政程序规定》第四十八条规定“有下列情形之一的，行政执法决定可以不说明理由：（一）行政执法决定有利于当事人的，但是第三人提出异议的情形除外；（二）情况紧急，行政机关无法说明理由的；（三）涉及国家秘密、商业秘密、个人隐私的；（四）法律、法规规定可以不说明理由的其他情形。有前款第二项情形，当事人自行政执法决定送达之日起三十日内要求行政机关书面说明理由的，行政机关应当书面说明”。</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color w:val="auto"/>
          <w:sz w:val="24"/>
          <w:szCs w:val="24"/>
          <w:lang w:val="en-US" w:eastAsia="zh-CN"/>
        </w:rPr>
      </w:pPr>
      <w:r>
        <w:rPr>
          <w:rFonts w:hint="eastAsia"/>
          <w:b/>
          <w:bCs/>
          <w:color w:val="auto"/>
          <w:sz w:val="24"/>
          <w:szCs w:val="24"/>
          <w:lang w:val="en-US" w:eastAsia="zh-CN"/>
        </w:rPr>
        <w:t>后续程序规定内容</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地方行政程序规定既正面阐述行政行为说明理由制度，又对行政机关未说明理由时，其行政行为效力如何，是否存在后续补救措施作了些许规定，《汕头市行政程序规定》第一百六十七条规定“行政执法行为有下列情形之一的，应当责令改正或者变更：（一）未说明理由且事后补充说明理由，当事人、利害关系人没有异议的；（二）文字表述错误或者计算错误的；（三）未载明决定作出日期的；（四）程序上存在其他轻微瑕疵或者遗漏，未侵犯公民、法人或者其他组织合法权利的。改正或者变更应当以书面决定的方式作出。”《山东省行政程序规定》第一百二十九条规定“行政决定有下列情形之一的，应当以书面形式补正或者更正：（一）未说明理由，但是未对公民、法人和其他组织的合法权益产生不利影响的；（二）程序存在轻微瑕疵，但是未侵犯公民、法人和其他组织合法权益的；（三）文字表述错误或者计算错误的；（四）未载明作出日期的；（五）需要补正或者更正的其他情形。”《湖南省行政程序规定》第一百六十四条规定“具有下列情形之一的，行政执法行为应当予以补正或者更正：（一）未说明理由且事后补充说明理由，当事人、利害关系人没有异议的；（二）文字表述错误或者计算错误的；（三）未载明决定作出日期的；（四）程序上存在其他轻微瑕疵或者遗漏，未侵犯公民、法人或者其他组织合法权利的。补正应当以书面决定的方式作出。”《西安市行政程序规定》第二十九条第一款规定“行政处理有下列情形之一的，作出行政处理的行政机关应当主动或者应公民、法人或者其他组织申请予以补正：（一）未说明理由但对当事人的合法权益没有实质性影响的，行政机关可在事后说明理由；（二）行政处理决定文字表述或者计算错误的；（三）行政处理决定已载明处理主体但未盖章的；（四）行政处理决定未载明日期的；（五）具有可撤销情形的行政处理作补正处理对相对人更为有利，且不损害社会公共利益的；（六）需要进行补正的其他情形。”《宁夏回族自治区行政程序规定》第一百零九条规定“具有下列情形之一的，行政执法行为应当予以补正或者更正：（一）未说明理由且事后补充说明理由，当事人、利害关系人没有异议的；（二）文字表述错误或者计算错误的；（三）未载明决定作出日期的；（四）程序上存在其他轻微瑕疵或者遗漏，未侵犯公民、法人或者其他组织合法权利的。补正应当以书面决定的方式作出”。以上是对法律法规规章规定行政机关应当说明理由，而行政机关未说明理由时，其行为效力以及如何采取补救措施的程序规定的简单介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imes New Roman" w:hAnsi="Times New Roman" w:cs="Times New Roman"/>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center"/>
        <w:textAlignment w:val="auto"/>
        <w:outlineLvl w:val="9"/>
        <w:rPr>
          <w:rFonts w:hint="eastAsia" w:ascii="Times New Roman" w:hAnsi="Times New Roman" w:cs="Times New Roman"/>
          <w:szCs w:val="21"/>
          <w:lang w:val="en-US" w:eastAsia="zh-CN"/>
        </w:rPr>
      </w:pPr>
      <w:r>
        <w:rPr>
          <w:rFonts w:hint="eastAsia" w:ascii="黑体" w:hAnsi="黑体" w:eastAsia="黑体" w:cs="黑体"/>
          <w:b/>
          <w:bCs/>
          <w:color w:val="auto"/>
          <w:sz w:val="28"/>
          <w:szCs w:val="28"/>
          <w:lang w:val="en-US" w:eastAsia="zh-CN"/>
        </w:rPr>
        <w:t>四、行政行为说明理由展望</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color w:val="auto"/>
          <w:sz w:val="21"/>
          <w:szCs w:val="21"/>
          <w:lang w:val="en-US" w:eastAsia="zh-CN"/>
        </w:rPr>
      </w:pPr>
      <w:r>
        <w:rPr>
          <w:rFonts w:hint="eastAsia" w:ascii="Times New Roman" w:hAnsi="Times New Roman" w:cs="Times New Roman"/>
          <w:szCs w:val="21"/>
          <w:lang w:val="en-US" w:eastAsia="zh-CN"/>
        </w:rPr>
        <w:t>我国尚未出台统一的行政程序法，但单行法律《中华人民共和国行政许可法》《中华人民共和国行政处罚法》《中华人民共和国行政强制法》等早已颁布，地方行政程序规定《湖南省行政程序规定》《汕头市行政程序规定》《山东省行政程序规定》《西安市行政程序规定》《海口市行政程序规定》《江苏省行政程序规定》《宁夏回族自治区行政程序规定》《兰州市行政程序规定》已相继发布，学术界有关行政程序法内容的探讨一直如火如荼。作为行政程序制度之一的行政行为说明理由制度不可避免的将出现在行政程序法的内容中，针对行政行为说明理由如何规定，笔者通过对以上法律、地方政府规章的深入分析整理，认为针对行政行为说明理由制度我们需要明确以下内容，哪些情况需要行政机关说明理由？行政机关以何种方式说明理由？行政机关说明的理由包含哪些内容？行政相对人不同意行政机关的说明该如何处理？下面笔者将针对这些问题，提出自己的建议。</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color w:val="auto"/>
          <w:sz w:val="24"/>
          <w:szCs w:val="24"/>
          <w:lang w:val="en-US" w:eastAsia="zh-CN"/>
        </w:rPr>
      </w:pPr>
      <w:r>
        <w:rPr>
          <w:rFonts w:hint="eastAsia"/>
          <w:b/>
          <w:bCs/>
          <w:color w:val="auto"/>
          <w:sz w:val="24"/>
          <w:szCs w:val="24"/>
          <w:lang w:val="en-US" w:eastAsia="zh-CN"/>
        </w:rPr>
        <w:t>行政行为说明理由适用条件</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法律法规规章规定行政机关应当说明理由的情况；“对于行政机关而言，在法律明确规定的情况下，行政机关应当说明理由自不待言，但是在法律没有明确规定的情况下，行政机关是否要说明理由、在何种范围内作出理由说明、其效力如何等并非不证自明的论题”</w:t>
      </w:r>
      <w:r>
        <w:rPr>
          <w:rStyle w:val="12"/>
          <w:rFonts w:hint="default" w:ascii="Times New Roman" w:hAnsi="Times New Roman" w:cs="Times New Roman"/>
          <w:color w:val="auto"/>
          <w:sz w:val="21"/>
          <w:szCs w:val="21"/>
          <w:lang w:val="en-US" w:eastAsia="zh-CN"/>
        </w:rPr>
        <w:t>[</w:t>
      </w:r>
      <w:r>
        <w:rPr>
          <w:rStyle w:val="12"/>
          <w:rFonts w:hint="default" w:ascii="Times New Roman" w:hAnsi="Times New Roman" w:cs="Times New Roman"/>
          <w:color w:val="auto"/>
          <w:sz w:val="21"/>
          <w:szCs w:val="21"/>
          <w:lang w:val="en-US" w:eastAsia="zh-CN"/>
        </w:rPr>
        <w:footnoteReference w:id="14"/>
      </w:r>
      <w:r>
        <w:rPr>
          <w:rStyle w:val="12"/>
          <w:rFonts w:hint="default" w:ascii="Times New Roman" w:hAnsi="Times New Roman" w:cs="Times New Roman"/>
          <w:color w:val="auto"/>
          <w:sz w:val="21"/>
          <w:szCs w:val="21"/>
          <w:lang w:val="en-US" w:eastAsia="zh-CN"/>
        </w:rPr>
        <w:t>]</w:t>
      </w:r>
      <w:r>
        <w:rPr>
          <w:rFonts w:hint="eastAsia" w:ascii="Times New Roman" w:hAnsi="Times New Roman" w:cs="Times New Roman"/>
          <w:szCs w:val="21"/>
          <w:lang w:val="en-US" w:eastAsia="zh-CN"/>
        </w:rPr>
        <w:t>笔者认为行政相对人认为行政机关的行政行为侵犯其合法权益并以书面方式提出申请要求行政机关说明理由的情况也应包含于行政机关应当说明理由的范围。</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color w:val="auto"/>
          <w:sz w:val="24"/>
          <w:szCs w:val="24"/>
          <w:lang w:val="en-US" w:eastAsia="zh-CN"/>
        </w:rPr>
      </w:pPr>
      <w:r>
        <w:rPr>
          <w:rFonts w:hint="eastAsia"/>
          <w:b/>
          <w:bCs/>
          <w:color w:val="auto"/>
          <w:sz w:val="24"/>
          <w:szCs w:val="24"/>
          <w:lang w:val="en-US" w:eastAsia="zh-CN"/>
        </w:rPr>
        <w:t>行政行为说明理由使用方式</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color w:val="auto"/>
          <w:sz w:val="21"/>
          <w:szCs w:val="21"/>
          <w:lang w:val="en-US" w:eastAsia="zh-CN"/>
        </w:rPr>
      </w:pPr>
      <w:r>
        <w:rPr>
          <w:rFonts w:hint="eastAsia"/>
          <w:color w:val="auto"/>
          <w:sz w:val="21"/>
          <w:szCs w:val="21"/>
          <w:lang w:val="en-US" w:eastAsia="zh-CN"/>
        </w:rPr>
        <w:t>法律法规规章对行政行为说明理由的方式有规定的，遵照规定，没有规定的，以书面形式说明，书面形式确有困难的，以口头方式，但应取得行政相对人的同意。</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color w:val="auto"/>
          <w:sz w:val="24"/>
          <w:szCs w:val="24"/>
          <w:lang w:val="en-US" w:eastAsia="zh-CN"/>
        </w:rPr>
      </w:pPr>
      <w:r>
        <w:rPr>
          <w:rFonts w:hint="eastAsia"/>
          <w:b/>
          <w:bCs/>
          <w:color w:val="auto"/>
          <w:sz w:val="24"/>
          <w:szCs w:val="24"/>
          <w:lang w:val="en-US" w:eastAsia="zh-CN"/>
        </w:rPr>
        <w:t>行政行为说明理由包含内容</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color w:val="auto"/>
          <w:sz w:val="21"/>
          <w:szCs w:val="21"/>
          <w:lang w:val="en-US" w:eastAsia="zh-CN"/>
        </w:rPr>
      </w:pPr>
      <w:r>
        <w:rPr>
          <w:rFonts w:hint="eastAsia"/>
          <w:color w:val="auto"/>
          <w:sz w:val="21"/>
          <w:szCs w:val="21"/>
          <w:lang w:val="en-US" w:eastAsia="zh-CN"/>
        </w:rPr>
        <w:t>行政机关说明的理由应包含行政行为行使的法律法规规章依据、事实以及二者之间的印证，应尽量用通俗易懂、行政相对人能够接受的方式解释。</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color w:val="auto"/>
          <w:sz w:val="24"/>
          <w:szCs w:val="24"/>
          <w:lang w:val="en-US" w:eastAsia="zh-CN"/>
        </w:rPr>
      </w:pPr>
      <w:r>
        <w:rPr>
          <w:rFonts w:hint="eastAsia"/>
          <w:b/>
          <w:bCs/>
          <w:color w:val="auto"/>
          <w:sz w:val="24"/>
          <w:szCs w:val="24"/>
          <w:lang w:val="en-US" w:eastAsia="zh-CN"/>
        </w:rPr>
        <w:t>行政行为说明理由对方应对</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color w:val="auto"/>
          <w:sz w:val="21"/>
          <w:szCs w:val="21"/>
          <w:lang w:val="en-US" w:eastAsia="zh-CN"/>
        </w:rPr>
      </w:pPr>
      <w:r>
        <w:rPr>
          <w:rFonts w:hint="eastAsia"/>
          <w:color w:val="auto"/>
          <w:sz w:val="21"/>
          <w:szCs w:val="21"/>
          <w:lang w:val="en-US" w:eastAsia="zh-CN"/>
        </w:rPr>
        <w:t>行政相对人针对行政机关说明的理由，有陈述、申辩权，当事人行使了陈述、申辩权后，若行政机关的最后处理结果仍令当事人不满意，当事人可就行政机关的行政行为申请行政复议或行政诉讼。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562" w:leftChars="0" w:right="0" w:rightChars="0" w:hanging="562" w:hangingChars="200"/>
        <w:jc w:val="center"/>
        <w:textAlignment w:val="auto"/>
        <w:outlineLvl w:val="9"/>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参考文献</w:t>
      </w:r>
    </w:p>
    <w:p>
      <w:pPr>
        <w:keepNext w:val="0"/>
        <w:keepLines w:val="0"/>
        <w:pageBreakBefore w:val="0"/>
        <w:widowControl w:val="0"/>
        <w:kinsoku/>
        <w:wordWrap/>
        <w:overflowPunct/>
        <w:topLinePunct w:val="0"/>
        <w:autoSpaceDE/>
        <w:autoSpaceDN/>
        <w:bidi w:val="0"/>
        <w:adjustRightInd/>
        <w:snapToGrid/>
        <w:spacing w:line="240" w:lineRule="auto"/>
        <w:ind w:left="422" w:leftChars="0" w:right="0" w:rightChars="0" w:hanging="422" w:hangingChars="200"/>
        <w:jc w:val="center"/>
        <w:textAlignment w:val="auto"/>
        <w:outlineLvl w:val="9"/>
        <w:rPr>
          <w:rFonts w:hint="default" w:ascii="Times New Roman" w:hAnsi="Times New Roman" w:eastAsia="黑体" w:cs="Times New Roman"/>
          <w:b/>
          <w:bCs/>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left"/>
        <w:textAlignment w:val="auto"/>
        <w:outlineLvl w:val="9"/>
        <w:rPr>
          <w:rFonts w:hint="eastAsia" w:asciiTheme="majorEastAsia" w:hAnsiTheme="majorEastAsia" w:eastAsiaTheme="majorEastAsia" w:cstheme="majorEastAsia"/>
          <w:b w:val="0"/>
          <w:bCs w:val="0"/>
          <w:color w:val="auto"/>
          <w:sz w:val="21"/>
          <w:szCs w:val="21"/>
          <w:lang w:val="en-US" w:eastAsia="zh-CN"/>
        </w:rPr>
      </w:pPr>
      <w:r>
        <w:rPr>
          <w:rFonts w:hint="default" w:ascii="Times New Roman" w:hAnsi="Times New Roman" w:cs="Times New Roman" w:eastAsiaTheme="majorEastAsia"/>
          <w:b w:val="0"/>
          <w:bCs w:val="0"/>
          <w:color w:val="auto"/>
          <w:sz w:val="21"/>
          <w:szCs w:val="21"/>
          <w:lang w:val="en-US" w:eastAsia="zh-CN"/>
        </w:rPr>
        <w:t>[1]</w:t>
      </w:r>
      <w:r>
        <w:rPr>
          <w:rFonts w:hint="eastAsia" w:asciiTheme="majorEastAsia" w:hAnsiTheme="majorEastAsia" w:eastAsiaTheme="majorEastAsia" w:cstheme="majorEastAsia"/>
          <w:b w:val="0"/>
          <w:bCs w:val="0"/>
          <w:color w:val="auto"/>
          <w:sz w:val="21"/>
          <w:szCs w:val="21"/>
          <w:lang w:val="en-US" w:eastAsia="zh-CN"/>
        </w:rPr>
        <w:t>章剑生，行政行为说明理由判解</w:t>
      </w:r>
      <w:r>
        <w:rPr>
          <w:rFonts w:hint="eastAsia" w:ascii="Times New Roman" w:hAnsi="Times New Roman" w:cs="Times New Roman" w:eastAsiaTheme="majorEastAsia"/>
          <w:b w:val="0"/>
          <w:bCs w:val="0"/>
          <w:color w:val="auto"/>
          <w:sz w:val="21"/>
          <w:szCs w:val="21"/>
          <w:lang w:val="en-US" w:eastAsia="zh-CN"/>
        </w:rPr>
        <w:t>[M]</w:t>
      </w:r>
      <w:r>
        <w:rPr>
          <w:rFonts w:hint="eastAsia" w:asciiTheme="majorEastAsia" w:hAnsiTheme="majorEastAsia" w:eastAsiaTheme="majorEastAsia" w:cstheme="majorEastAsia"/>
          <w:b w:val="0"/>
          <w:bCs w:val="0"/>
          <w:color w:val="auto"/>
          <w:sz w:val="21"/>
          <w:szCs w:val="21"/>
          <w:lang w:val="en-US" w:eastAsia="zh-CN"/>
        </w:rPr>
        <w:t>，武汉大学出版社，2000.</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left"/>
        <w:textAlignment w:val="auto"/>
        <w:outlineLvl w:val="9"/>
        <w:rPr>
          <w:rFonts w:hint="eastAsia" w:asciiTheme="majorEastAsia" w:hAnsiTheme="majorEastAsia" w:eastAsiaTheme="majorEastAsia" w:cstheme="majorEastAsia"/>
          <w:b w:val="0"/>
          <w:bCs w:val="0"/>
          <w:color w:val="auto"/>
          <w:sz w:val="21"/>
          <w:szCs w:val="21"/>
          <w:lang w:val="en-US" w:eastAsia="zh-CN"/>
        </w:rPr>
      </w:pPr>
      <w:r>
        <w:rPr>
          <w:rFonts w:hint="eastAsia" w:ascii="Times New Roman" w:hAnsi="Times New Roman" w:cs="Times New Roman" w:eastAsiaTheme="majorEastAsia"/>
          <w:b w:val="0"/>
          <w:bCs w:val="0"/>
          <w:color w:val="auto"/>
          <w:sz w:val="21"/>
          <w:szCs w:val="21"/>
          <w:lang w:val="en-US" w:eastAsia="zh-CN"/>
        </w:rPr>
        <w:t>[2]</w:t>
      </w:r>
      <w:r>
        <w:rPr>
          <w:rFonts w:hint="eastAsia" w:asciiTheme="majorEastAsia" w:hAnsiTheme="majorEastAsia" w:eastAsiaTheme="majorEastAsia" w:cstheme="majorEastAsia"/>
          <w:b w:val="0"/>
          <w:bCs w:val="0"/>
          <w:color w:val="auto"/>
          <w:sz w:val="21"/>
          <w:szCs w:val="21"/>
          <w:lang w:val="en-US" w:eastAsia="zh-CN"/>
        </w:rPr>
        <w:t>张兆成，行政法律行为论纲</w:t>
      </w:r>
      <w:r>
        <w:rPr>
          <w:rFonts w:hint="eastAsia" w:ascii="Times New Roman" w:hAnsi="Times New Roman" w:cs="Times New Roman" w:eastAsiaTheme="majorEastAsia"/>
          <w:b w:val="0"/>
          <w:bCs w:val="0"/>
          <w:color w:val="auto"/>
          <w:sz w:val="21"/>
          <w:szCs w:val="21"/>
          <w:lang w:val="en-US" w:eastAsia="zh-CN"/>
        </w:rPr>
        <w:t>[M]</w:t>
      </w:r>
      <w:r>
        <w:rPr>
          <w:rFonts w:hint="eastAsia" w:asciiTheme="majorEastAsia" w:hAnsiTheme="majorEastAsia" w:eastAsiaTheme="majorEastAsia" w:cstheme="majorEastAsia"/>
          <w:b w:val="0"/>
          <w:bCs w:val="0"/>
          <w:color w:val="auto"/>
          <w:sz w:val="21"/>
          <w:szCs w:val="21"/>
          <w:lang w:val="en-US" w:eastAsia="zh-CN"/>
        </w:rPr>
        <w:t>，人民出版社，2013.</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left"/>
        <w:textAlignment w:val="auto"/>
        <w:outlineLvl w:val="9"/>
        <w:rPr>
          <w:rFonts w:hint="eastAsia" w:asciiTheme="majorEastAsia" w:hAnsiTheme="majorEastAsia" w:eastAsiaTheme="majorEastAsia" w:cstheme="majorEastAsia"/>
          <w:b w:val="0"/>
          <w:bCs w:val="0"/>
          <w:color w:val="auto"/>
          <w:sz w:val="21"/>
          <w:szCs w:val="21"/>
          <w:lang w:val="en-US" w:eastAsia="zh-CN"/>
        </w:rPr>
      </w:pPr>
      <w:r>
        <w:rPr>
          <w:rFonts w:hint="eastAsia" w:ascii="Times New Roman" w:hAnsi="Times New Roman" w:cs="Times New Roman" w:eastAsiaTheme="majorEastAsia"/>
          <w:b w:val="0"/>
          <w:bCs w:val="0"/>
          <w:color w:val="auto"/>
          <w:sz w:val="21"/>
          <w:szCs w:val="21"/>
          <w:lang w:val="en-US" w:eastAsia="zh-CN"/>
        </w:rPr>
        <w:t>[3]</w:t>
      </w:r>
      <w:r>
        <w:rPr>
          <w:rFonts w:hint="eastAsia" w:asciiTheme="majorEastAsia" w:hAnsiTheme="majorEastAsia" w:eastAsiaTheme="majorEastAsia" w:cstheme="majorEastAsia"/>
          <w:b w:val="0"/>
          <w:bCs w:val="0"/>
          <w:color w:val="auto"/>
          <w:sz w:val="21"/>
          <w:szCs w:val="21"/>
          <w:lang w:val="en-US" w:eastAsia="zh-CN"/>
        </w:rPr>
        <w:t>关保英，行政法学（上下册）</w:t>
      </w:r>
      <w:r>
        <w:rPr>
          <w:rFonts w:hint="eastAsia" w:ascii="Times New Roman" w:hAnsi="Times New Roman" w:cs="Times New Roman" w:eastAsiaTheme="majorEastAsia"/>
          <w:b w:val="0"/>
          <w:bCs w:val="0"/>
          <w:color w:val="auto"/>
          <w:sz w:val="21"/>
          <w:szCs w:val="21"/>
          <w:lang w:val="en-US" w:eastAsia="zh-CN"/>
        </w:rPr>
        <w:t>[M]</w:t>
      </w:r>
      <w:r>
        <w:rPr>
          <w:rFonts w:hint="eastAsia" w:asciiTheme="majorEastAsia" w:hAnsiTheme="majorEastAsia" w:eastAsiaTheme="majorEastAsia" w:cstheme="majorEastAsia"/>
          <w:b w:val="0"/>
          <w:bCs w:val="0"/>
          <w:color w:val="auto"/>
          <w:sz w:val="21"/>
          <w:szCs w:val="21"/>
          <w:lang w:val="en-US" w:eastAsia="zh-CN"/>
        </w:rPr>
        <w:t>，法律出版社，2013.</w:t>
      </w:r>
    </w:p>
    <w:p>
      <w:pPr>
        <w:keepNext w:val="0"/>
        <w:keepLines w:val="0"/>
        <w:pageBreakBefore w:val="0"/>
        <w:widowControl w:val="0"/>
        <w:numPr>
          <w:ilvl w:val="0"/>
          <w:numId w:val="0"/>
        </w:numPr>
        <w:tabs>
          <w:tab w:val="left" w:pos="5728"/>
        </w:tabs>
        <w:kinsoku/>
        <w:wordWrap/>
        <w:overflowPunct/>
        <w:topLinePunct w:val="0"/>
        <w:autoSpaceDE/>
        <w:autoSpaceDN/>
        <w:bidi w:val="0"/>
        <w:adjustRightInd/>
        <w:snapToGrid/>
        <w:spacing w:line="288" w:lineRule="auto"/>
        <w:ind w:left="420" w:leftChars="0" w:right="0" w:rightChars="0" w:hanging="420" w:hangingChars="200"/>
        <w:jc w:val="left"/>
        <w:textAlignment w:val="auto"/>
        <w:outlineLvl w:val="9"/>
        <w:rPr>
          <w:rFonts w:hint="eastAsia" w:asciiTheme="majorEastAsia" w:hAnsiTheme="majorEastAsia" w:eastAsiaTheme="majorEastAsia" w:cstheme="majorEastAsia"/>
          <w:b w:val="0"/>
          <w:bCs w:val="0"/>
          <w:color w:val="auto"/>
          <w:sz w:val="21"/>
          <w:szCs w:val="21"/>
          <w:lang w:val="en-US" w:eastAsia="zh-CN"/>
        </w:rPr>
      </w:pPr>
      <w:r>
        <w:rPr>
          <w:rFonts w:hint="eastAsia" w:ascii="Times New Roman" w:hAnsi="Times New Roman" w:cs="Times New Roman" w:eastAsiaTheme="majorEastAsia"/>
          <w:b w:val="0"/>
          <w:bCs w:val="0"/>
          <w:color w:val="auto"/>
          <w:sz w:val="21"/>
          <w:szCs w:val="21"/>
          <w:lang w:val="en-US" w:eastAsia="zh-CN"/>
        </w:rPr>
        <w:t>[4]</w:t>
      </w:r>
      <w:r>
        <w:rPr>
          <w:rFonts w:hint="eastAsia" w:asciiTheme="majorEastAsia" w:hAnsiTheme="majorEastAsia" w:eastAsiaTheme="majorEastAsia" w:cstheme="majorEastAsia"/>
          <w:b w:val="0"/>
          <w:bCs w:val="0"/>
          <w:color w:val="auto"/>
          <w:sz w:val="21"/>
          <w:szCs w:val="21"/>
          <w:lang w:val="en-US" w:eastAsia="zh-CN"/>
        </w:rPr>
        <w:t>应松年，行政诉讼法学</w:t>
      </w:r>
      <w:r>
        <w:rPr>
          <w:rFonts w:hint="eastAsia" w:ascii="Times New Roman" w:hAnsi="Times New Roman" w:cs="Times New Roman" w:eastAsiaTheme="majorEastAsia"/>
          <w:b w:val="0"/>
          <w:bCs w:val="0"/>
          <w:color w:val="auto"/>
          <w:sz w:val="21"/>
          <w:szCs w:val="21"/>
          <w:lang w:val="en-US" w:eastAsia="zh-CN"/>
        </w:rPr>
        <w:t>[M]</w:t>
      </w:r>
      <w:r>
        <w:rPr>
          <w:rFonts w:hint="eastAsia" w:asciiTheme="majorEastAsia" w:hAnsiTheme="majorEastAsia" w:eastAsiaTheme="majorEastAsia" w:cstheme="majorEastAsia"/>
          <w:b w:val="0"/>
          <w:bCs w:val="0"/>
          <w:color w:val="auto"/>
          <w:sz w:val="21"/>
          <w:szCs w:val="21"/>
          <w:lang w:val="en-US" w:eastAsia="zh-CN"/>
        </w:rPr>
        <w:t>，政法大学出版社，2015.</w:t>
      </w:r>
      <w:r>
        <w:rPr>
          <w:rFonts w:hint="eastAsia" w:asciiTheme="majorEastAsia" w:hAnsiTheme="majorEastAsia" w:eastAsiaTheme="majorEastAsia" w:cstheme="majorEastAsia"/>
          <w:b w:val="0"/>
          <w:bCs w:val="0"/>
          <w:color w:val="auto"/>
          <w:sz w:val="21"/>
          <w:szCs w:val="21"/>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left"/>
        <w:textAlignment w:val="auto"/>
        <w:outlineLvl w:val="9"/>
        <w:rPr>
          <w:rFonts w:hint="eastAsia" w:asciiTheme="majorEastAsia" w:hAnsiTheme="majorEastAsia" w:eastAsiaTheme="majorEastAsia" w:cstheme="majorEastAsia"/>
          <w:b w:val="0"/>
          <w:bCs w:val="0"/>
          <w:color w:val="auto"/>
          <w:sz w:val="21"/>
          <w:szCs w:val="21"/>
          <w:lang w:val="en-US" w:eastAsia="zh-CN"/>
        </w:rPr>
      </w:pPr>
      <w:r>
        <w:rPr>
          <w:rFonts w:hint="eastAsia" w:ascii="Times New Roman" w:hAnsi="Times New Roman" w:cs="Times New Roman" w:eastAsiaTheme="majorEastAsia"/>
          <w:b w:val="0"/>
          <w:bCs w:val="0"/>
          <w:color w:val="auto"/>
          <w:sz w:val="21"/>
          <w:szCs w:val="21"/>
          <w:lang w:val="en-US" w:eastAsia="zh-CN"/>
        </w:rPr>
        <w:t>[5]</w:t>
      </w:r>
      <w:r>
        <w:rPr>
          <w:rFonts w:hint="eastAsia" w:asciiTheme="majorEastAsia" w:hAnsiTheme="majorEastAsia" w:eastAsiaTheme="majorEastAsia" w:cstheme="majorEastAsia"/>
          <w:b w:val="0"/>
          <w:bCs w:val="0"/>
          <w:color w:val="auto"/>
          <w:sz w:val="21"/>
          <w:szCs w:val="21"/>
          <w:lang w:val="en-US" w:eastAsia="zh-CN"/>
        </w:rPr>
        <w:t>邹东升，公共行政学</w:t>
      </w:r>
      <w:r>
        <w:rPr>
          <w:rFonts w:hint="eastAsia" w:ascii="Times New Roman" w:hAnsi="Times New Roman" w:cs="Times New Roman" w:eastAsiaTheme="majorEastAsia"/>
          <w:b w:val="0"/>
          <w:bCs w:val="0"/>
          <w:color w:val="auto"/>
          <w:sz w:val="21"/>
          <w:szCs w:val="21"/>
          <w:lang w:val="en-US" w:eastAsia="zh-CN"/>
        </w:rPr>
        <w:t>[M]</w:t>
      </w:r>
      <w:r>
        <w:rPr>
          <w:rFonts w:hint="eastAsia" w:asciiTheme="majorEastAsia" w:hAnsiTheme="majorEastAsia" w:eastAsiaTheme="majorEastAsia" w:cstheme="majorEastAsia"/>
          <w:b w:val="0"/>
          <w:bCs w:val="0"/>
          <w:color w:val="auto"/>
          <w:sz w:val="21"/>
          <w:szCs w:val="21"/>
          <w:lang w:val="en-US" w:eastAsia="zh-CN"/>
        </w:rPr>
        <w:t>，北京大学出版社，2014.</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left"/>
        <w:textAlignment w:val="auto"/>
        <w:outlineLvl w:val="9"/>
        <w:rPr>
          <w:rFonts w:hint="eastAsia" w:asciiTheme="majorEastAsia" w:hAnsiTheme="majorEastAsia" w:eastAsiaTheme="majorEastAsia" w:cstheme="majorEastAsia"/>
          <w:b w:val="0"/>
          <w:bCs w:val="0"/>
          <w:color w:val="auto"/>
          <w:sz w:val="21"/>
          <w:szCs w:val="21"/>
          <w:lang w:val="en-US" w:eastAsia="zh-CN"/>
        </w:rPr>
      </w:pPr>
      <w:r>
        <w:rPr>
          <w:rFonts w:hint="eastAsia" w:ascii="Times New Roman" w:hAnsi="Times New Roman" w:cs="Times New Roman" w:eastAsiaTheme="majorEastAsia"/>
          <w:b w:val="0"/>
          <w:bCs w:val="0"/>
          <w:color w:val="auto"/>
          <w:sz w:val="21"/>
          <w:szCs w:val="21"/>
          <w:lang w:val="en-US" w:eastAsia="zh-CN"/>
        </w:rPr>
        <w:t>[6]</w:t>
      </w:r>
      <w:r>
        <w:rPr>
          <w:rFonts w:hint="eastAsia" w:asciiTheme="majorEastAsia" w:hAnsiTheme="majorEastAsia" w:eastAsiaTheme="majorEastAsia" w:cstheme="majorEastAsia"/>
          <w:b w:val="0"/>
          <w:bCs w:val="0"/>
          <w:color w:val="auto"/>
          <w:sz w:val="21"/>
          <w:szCs w:val="21"/>
          <w:lang w:val="en-US" w:eastAsia="zh-CN"/>
        </w:rPr>
        <w:t>胡建淼，行政法学</w:t>
      </w:r>
      <w:r>
        <w:rPr>
          <w:rFonts w:hint="eastAsia" w:ascii="Times New Roman" w:hAnsi="Times New Roman" w:cs="Times New Roman" w:eastAsiaTheme="majorEastAsia"/>
          <w:b w:val="0"/>
          <w:bCs w:val="0"/>
          <w:color w:val="auto"/>
          <w:sz w:val="21"/>
          <w:szCs w:val="21"/>
          <w:lang w:val="en-US" w:eastAsia="zh-CN"/>
        </w:rPr>
        <w:t>[M]</w:t>
      </w:r>
      <w:r>
        <w:rPr>
          <w:rFonts w:hint="eastAsia" w:asciiTheme="majorEastAsia" w:hAnsiTheme="majorEastAsia" w:eastAsiaTheme="majorEastAsia" w:cstheme="majorEastAsia"/>
          <w:b w:val="0"/>
          <w:bCs w:val="0"/>
          <w:color w:val="auto"/>
          <w:sz w:val="21"/>
          <w:szCs w:val="21"/>
          <w:lang w:val="en-US" w:eastAsia="zh-CN"/>
        </w:rPr>
        <w:t>，法律出版社，2010.</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left"/>
        <w:textAlignment w:val="auto"/>
        <w:outlineLvl w:val="9"/>
        <w:rPr>
          <w:rFonts w:hint="eastAsia" w:asciiTheme="majorEastAsia" w:hAnsiTheme="majorEastAsia" w:eastAsiaTheme="majorEastAsia" w:cstheme="majorEastAsia"/>
          <w:b w:val="0"/>
          <w:bCs w:val="0"/>
          <w:color w:val="auto"/>
          <w:sz w:val="21"/>
          <w:szCs w:val="21"/>
          <w:lang w:val="en-US" w:eastAsia="zh-CN"/>
        </w:rPr>
      </w:pPr>
      <w:r>
        <w:rPr>
          <w:rFonts w:hint="eastAsia" w:ascii="Times New Roman" w:hAnsi="Times New Roman" w:cs="Times New Roman" w:eastAsiaTheme="majorEastAsia"/>
          <w:b w:val="0"/>
          <w:bCs w:val="0"/>
          <w:color w:val="auto"/>
          <w:sz w:val="21"/>
          <w:szCs w:val="21"/>
          <w:lang w:val="en-US" w:eastAsia="zh-CN"/>
        </w:rPr>
        <w:t>[7]</w:t>
      </w:r>
      <w:r>
        <w:rPr>
          <w:rFonts w:hint="eastAsia" w:asciiTheme="majorEastAsia" w:hAnsiTheme="majorEastAsia" w:eastAsiaTheme="majorEastAsia" w:cstheme="majorEastAsia"/>
          <w:b w:val="0"/>
          <w:bCs w:val="0"/>
          <w:color w:val="auto"/>
          <w:sz w:val="21"/>
          <w:szCs w:val="21"/>
          <w:lang w:val="en-US" w:eastAsia="zh-CN"/>
        </w:rPr>
        <w:t>杨金晶，行政行为说明理由地方考—以八部地方行政程序规定比较为视角.研究生法学，2014-4.</w:t>
      </w:r>
    </w:p>
    <w:p>
      <w:pPr>
        <w:keepNext w:val="0"/>
        <w:keepLines w:val="0"/>
        <w:pageBreakBefore w:val="0"/>
        <w:widowControl w:val="0"/>
        <w:numPr>
          <w:ilvl w:val="0"/>
          <w:numId w:val="0"/>
        </w:numPr>
        <w:kinsoku/>
        <w:wordWrap/>
        <w:overflowPunct/>
        <w:topLinePunct w:val="0"/>
        <w:autoSpaceDE/>
        <w:autoSpaceDN/>
        <w:bidi w:val="0"/>
        <w:spacing w:line="240" w:lineRule="auto"/>
        <w:ind w:left="0" w:leftChars="0" w:right="0" w:rightChars="0"/>
        <w:jc w:val="left"/>
        <w:textAlignment w:val="auto"/>
        <w:rPr>
          <w:rFonts w:hint="eastAsia" w:asciiTheme="majorEastAsia" w:hAnsiTheme="majorEastAsia" w:eastAsiaTheme="majorEastAsia" w:cstheme="maj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spacing w:line="240" w:lineRule="auto"/>
        <w:ind w:left="0" w:leftChars="0" w:right="0" w:rightChars="0"/>
        <w:jc w:val="left"/>
        <w:textAlignment w:val="auto"/>
        <w:rPr>
          <w:rFonts w:hint="eastAsia" w:asciiTheme="majorEastAsia" w:hAnsiTheme="majorEastAsia" w:eastAsiaTheme="majorEastAsia" w:cstheme="majorEastAsia"/>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spacing w:line="240" w:lineRule="auto"/>
        <w:ind w:left="0" w:leftChars="0" w:right="0" w:rightChars="0"/>
        <w:jc w:val="left"/>
        <w:textAlignment w:val="auto"/>
        <w:rPr>
          <w:rFonts w:hint="eastAsia" w:asciiTheme="majorEastAsia" w:hAnsiTheme="majorEastAsia" w:eastAsiaTheme="majorEastAsia" w:cstheme="majorEastAsia"/>
          <w:b w:val="0"/>
          <w:bCs w:val="0"/>
          <w:color w:val="auto"/>
          <w:sz w:val="21"/>
          <w:szCs w:val="21"/>
          <w:lang w:val="en-US" w:eastAsia="zh-CN"/>
        </w:rPr>
      </w:pPr>
    </w:p>
    <w:p>
      <w:pPr>
        <w:keepNext w:val="0"/>
        <w:keepLines w:val="0"/>
        <w:pageBreakBefore w:val="0"/>
        <w:kinsoku/>
        <w:wordWrap/>
        <w:overflowPunct/>
        <w:topLinePunct w:val="0"/>
        <w:autoSpaceDE/>
        <w:autoSpaceDN/>
        <w:bidi w:val="0"/>
        <w:spacing w:line="240" w:lineRule="auto"/>
        <w:ind w:left="0" w:leftChars="0" w:right="0" w:rightChars="0"/>
        <w:textAlignment w:val="auto"/>
      </w:pPr>
      <w:r>
        <w:rPr>
          <w:rFonts w:hint="eastAsia" w:cs="Times New Roman"/>
          <w:sz w:val="21"/>
          <w:szCs w:val="21"/>
          <w:lang w:val="en-US" w:eastAsia="zh-CN"/>
        </w:rPr>
        <w:t xml:space="preserve">                                                              </w:t>
      </w:r>
      <w:r>
        <w:rPr>
          <w:rFonts w:hint="eastAsia" w:ascii="Times New Roman" w:hAnsi="Times New Roman" w:cs="Times New Roman"/>
          <w:sz w:val="21"/>
          <w:szCs w:val="21"/>
          <w:lang w:val="en-US" w:eastAsia="zh-CN"/>
        </w:rPr>
        <w:t>（责任编辑：</w:t>
      </w:r>
      <w:r>
        <w:rPr>
          <w:rFonts w:hint="eastAsia" w:cs="Times New Roman"/>
          <w:sz w:val="21"/>
          <w:szCs w:val="21"/>
          <w:lang w:val="en-US" w:eastAsia="zh-CN"/>
        </w:rPr>
        <w:t>钟彩清</w:t>
      </w:r>
      <w:r>
        <w:rPr>
          <w:rFonts w:hint="eastAsia" w:ascii="Times New Roman" w:hAnsi="Times New Roman" w:cs="Times New Roman"/>
          <w:sz w:val="21"/>
          <w:szCs w:val="21"/>
          <w:lang w:val="en-US" w:eastAsia="zh-CN"/>
        </w:rPr>
        <w:t>）</w:t>
      </w:r>
    </w:p>
    <w:p>
      <w:pPr>
        <w:keepNext w:val="0"/>
        <w:keepLines w:val="0"/>
        <w:pageBreakBefore w:val="0"/>
        <w:kinsoku/>
        <w:wordWrap/>
        <w:overflowPunct/>
        <w:topLinePunct w:val="0"/>
        <w:autoSpaceDE/>
        <w:autoSpaceDN/>
        <w:bidi w:val="0"/>
        <w:spacing w:line="240" w:lineRule="auto"/>
        <w:textAlignment w:val="auto"/>
      </w:pPr>
    </w:p>
    <w:p>
      <w:pPr>
        <w:keepNext w:val="0"/>
        <w:keepLines w:val="0"/>
        <w:pageBreakBefore w:val="0"/>
        <w:kinsoku/>
        <w:wordWrap/>
        <w:overflowPunct/>
        <w:topLinePunct w:val="0"/>
        <w:autoSpaceDE/>
        <w:autoSpaceDN/>
        <w:bidi w:val="0"/>
        <w:spacing w:line="240" w:lineRule="auto"/>
        <w:textAlignment w:val="auto"/>
      </w:pPr>
    </w:p>
    <w:p>
      <w:pPr>
        <w:keepNext w:val="0"/>
        <w:keepLines w:val="0"/>
        <w:pageBreakBefore w:val="0"/>
        <w:kinsoku/>
        <w:wordWrap/>
        <w:overflowPunct/>
        <w:topLinePunct w:val="0"/>
        <w:autoSpaceDE/>
        <w:autoSpaceDN/>
        <w:bidi w:val="0"/>
        <w:spacing w:line="240" w:lineRule="auto"/>
        <w:textAlignment w:val="auto"/>
      </w:pPr>
    </w:p>
    <w:p>
      <w:pPr>
        <w:keepNext w:val="0"/>
        <w:keepLines w:val="0"/>
        <w:pageBreakBefore w:val="0"/>
        <w:kinsoku/>
        <w:wordWrap/>
        <w:overflowPunct/>
        <w:topLinePunct w:val="0"/>
        <w:autoSpaceDE/>
        <w:autoSpaceDN/>
        <w:bidi w:val="0"/>
        <w:spacing w:line="240" w:lineRule="auto"/>
        <w:textAlignment w:val="auto"/>
      </w:pPr>
    </w:p>
    <w:p>
      <w:pPr>
        <w:keepNext w:val="0"/>
        <w:keepLines w:val="0"/>
        <w:pageBreakBefore w:val="0"/>
        <w:kinsoku/>
        <w:wordWrap/>
        <w:overflowPunct/>
        <w:topLinePunct w:val="0"/>
        <w:autoSpaceDE/>
        <w:autoSpaceDN/>
        <w:bidi w:val="0"/>
        <w:spacing w:line="240" w:lineRule="auto"/>
        <w:textAlignment w:val="auto"/>
      </w:pPr>
    </w:p>
    <w:p>
      <w:pPr>
        <w:keepNext w:val="0"/>
        <w:keepLines w:val="0"/>
        <w:pageBreakBefore w:val="0"/>
        <w:kinsoku/>
        <w:wordWrap/>
        <w:overflowPunct/>
        <w:topLinePunct w:val="0"/>
        <w:autoSpaceDE/>
        <w:autoSpaceDN/>
        <w:bidi w:val="0"/>
        <w:spacing w:line="240" w:lineRule="auto"/>
        <w:textAlignment w:val="auto"/>
      </w:pPr>
    </w:p>
    <w:p>
      <w:pPr>
        <w:keepNext w:val="0"/>
        <w:keepLines w:val="0"/>
        <w:pageBreakBefore w:val="0"/>
        <w:kinsoku/>
        <w:wordWrap/>
        <w:overflowPunct/>
        <w:topLinePunct w:val="0"/>
        <w:autoSpaceDE/>
        <w:autoSpaceDN/>
        <w:bidi w:val="0"/>
        <w:spacing w:line="240" w:lineRule="auto"/>
        <w:textAlignment w:val="auto"/>
      </w:pPr>
    </w:p>
    <w:p>
      <w:pPr>
        <w:keepNext w:val="0"/>
        <w:keepLines w:val="0"/>
        <w:pageBreakBefore w:val="0"/>
        <w:kinsoku/>
        <w:wordWrap/>
        <w:overflowPunct/>
        <w:topLinePunct w:val="0"/>
        <w:autoSpaceDE/>
        <w:autoSpaceDN/>
        <w:bidi w:val="0"/>
        <w:spacing w:line="240" w:lineRule="auto"/>
        <w:textAlignment w:val="auto"/>
      </w:pPr>
    </w:p>
    <w:p>
      <w:pPr>
        <w:keepNext w:val="0"/>
        <w:keepLines w:val="0"/>
        <w:pageBreakBefore w:val="0"/>
        <w:widowControl/>
        <w:kinsoku/>
        <w:wordWrap/>
        <w:overflowPunct/>
        <w:topLinePunct w:val="0"/>
        <w:autoSpaceDE/>
        <w:autoSpaceDN/>
        <w:bidi w:val="0"/>
        <w:adjustRightInd w:val="0"/>
        <w:snapToGrid w:val="0"/>
        <w:spacing w:beforeLines="100" w:afterLines="100" w:line="240" w:lineRule="auto"/>
        <w:ind w:left="0" w:leftChars="0" w:right="0" w:rightChars="0"/>
        <w:jc w:val="center"/>
        <w:textAlignment w:val="auto"/>
        <w:outlineLvl w:val="9"/>
        <w:rPr>
          <w:rFonts w:hint="eastAsia" w:ascii="黑体" w:hAnsi="黑体" w:eastAsia="黑体"/>
          <w:b/>
          <w:sz w:val="32"/>
          <w:szCs w:val="32"/>
        </w:rPr>
      </w:pPr>
      <w:r>
        <w:rPr>
          <w:rFonts w:hint="eastAsia" w:ascii="黑体" w:hAnsi="黑体" w:eastAsia="黑体"/>
          <w:b/>
          <w:sz w:val="32"/>
          <w:szCs w:val="32"/>
        </w:rPr>
        <w:t>论刑事诉讼法的法律价值之演进</w:t>
      </w:r>
    </w:p>
    <w:p>
      <w:pPr>
        <w:keepNext w:val="0"/>
        <w:keepLines w:val="0"/>
        <w:pageBreakBefore w:val="0"/>
        <w:widowControl/>
        <w:kinsoku/>
        <w:wordWrap/>
        <w:overflowPunct/>
        <w:topLinePunct w:val="0"/>
        <w:autoSpaceDE/>
        <w:autoSpaceDN/>
        <w:bidi w:val="0"/>
        <w:adjustRightInd w:val="0"/>
        <w:snapToGrid w:val="0"/>
        <w:spacing w:beforeLines="100" w:afterLines="100" w:line="240" w:lineRule="auto"/>
        <w:ind w:left="0" w:leftChars="0" w:right="0" w:rightChars="0"/>
        <w:jc w:val="center"/>
        <w:textAlignment w:val="auto"/>
        <w:outlineLvl w:val="9"/>
        <w:rPr>
          <w:rFonts w:ascii="Times New Roman" w:hAnsi="Times New Roman" w:eastAsia="宋体"/>
          <w:sz w:val="21"/>
          <w:szCs w:val="21"/>
        </w:rPr>
      </w:pPr>
      <w:r>
        <w:rPr>
          <w:rFonts w:hint="eastAsia" w:ascii="Times New Roman" w:eastAsia="宋体" w:hAnsiTheme="minorEastAsia"/>
          <w:sz w:val="21"/>
          <w:szCs w:val="21"/>
        </w:rPr>
        <w:t>李明哲</w:t>
      </w:r>
      <w:r>
        <w:rPr>
          <w:rStyle w:val="12"/>
          <w:rFonts w:ascii="Times New Roman" w:hAnsi="Times New Roman" w:eastAsia="宋体"/>
          <w:sz w:val="21"/>
          <w:szCs w:val="21"/>
        </w:rPr>
        <w:footnoteReference w:id="15" w:customMarkFollows="1"/>
        <w:sym w:font="Symbol" w:char="F020"/>
      </w:r>
      <w:r>
        <w:rPr>
          <w:rFonts w:hint="eastAsia" w:ascii="宋体" w:hAnsi="宋体" w:eastAsia="宋体" w:cs="宋体"/>
          <w:b w:val="0"/>
          <w:bCs w:val="0"/>
          <w:color w:val="auto"/>
          <w:kern w:val="2"/>
          <w:sz w:val="21"/>
          <w:szCs w:val="21"/>
          <w:vertAlign w:val="superscript"/>
          <w:lang w:val="en-US" w:eastAsia="zh-CN" w:bidi="ar-SA"/>
        </w:rPr>
        <w:t>*</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9"/>
        <w:rPr>
          <w:rFonts w:ascii="Times New Roman" w:hAnsi="Times New Roman" w:eastAsia="宋体"/>
          <w:sz w:val="24"/>
          <w:szCs w:val="24"/>
        </w:rPr>
      </w:pPr>
      <w:r>
        <w:rPr>
          <w:rFonts w:hint="eastAsia" w:ascii="Times New Roman" w:eastAsia="宋体" w:hAnsiTheme="minorEastAsia"/>
          <w:b/>
          <w:sz w:val="21"/>
          <w:szCs w:val="21"/>
        </w:rPr>
        <w:t>摘</w:t>
      </w:r>
      <w:r>
        <w:rPr>
          <w:rFonts w:hint="eastAsia" w:ascii="Times New Roman" w:hAnsi="Times New Roman" w:eastAsia="宋体"/>
          <w:b/>
          <w:sz w:val="21"/>
          <w:szCs w:val="21"/>
        </w:rPr>
        <w:t xml:space="preserve">  </w:t>
      </w:r>
      <w:r>
        <w:rPr>
          <w:rFonts w:hint="eastAsia" w:ascii="Times New Roman" w:eastAsia="宋体" w:hAnsiTheme="minorEastAsia"/>
          <w:b/>
          <w:sz w:val="21"/>
          <w:szCs w:val="21"/>
        </w:rPr>
        <w:t>要</w:t>
      </w:r>
      <w:r>
        <w:rPr>
          <w:rFonts w:hint="eastAsia" w:ascii="Times New Roman" w:eastAsia="宋体" w:hAnsiTheme="minorEastAsia"/>
          <w:sz w:val="24"/>
          <w:szCs w:val="24"/>
        </w:rPr>
        <w:t>：</w:t>
      </w:r>
      <w:r>
        <w:rPr>
          <w:rFonts w:hint="eastAsia" w:ascii="楷体" w:hAnsi="楷体" w:eastAsia="楷体"/>
          <w:sz w:val="21"/>
          <w:szCs w:val="21"/>
        </w:rPr>
        <w:t>1979年《刑事诉讼法》是我国改革开发以来制定的首部法律。任何法律本身即是一套价值体系，不同法律价值赋予法律以不同社会、政治与道德目标。法律价值并非变动不居，而是在历史的进程中呈现出调整与更新的样态。从刑事诉讼法的立法史出发，勾勒出刑诉法立法所呈现的价值演进之基本面貌，即是从秩序向人权演进。刑诉法的法律价值之演进与社会、政治的变迁之间联系紧密，而社会与政治则是此演进所蕴含的基本逻辑。</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9"/>
        <w:rPr>
          <w:rFonts w:hint="eastAsia" w:ascii="楷体" w:hAnsi="楷体" w:eastAsia="楷体"/>
          <w:sz w:val="21"/>
          <w:szCs w:val="21"/>
        </w:rPr>
      </w:pPr>
      <w:r>
        <w:rPr>
          <w:rFonts w:hint="eastAsia" w:ascii="Times New Roman" w:eastAsia="宋体" w:hAnsiTheme="minorEastAsia"/>
          <w:b/>
          <w:sz w:val="21"/>
          <w:szCs w:val="21"/>
        </w:rPr>
        <w:t>关键词</w:t>
      </w:r>
      <w:r>
        <w:rPr>
          <w:rFonts w:hint="eastAsia" w:ascii="Times New Roman" w:eastAsia="宋体" w:hAnsiTheme="minorEastAsia"/>
          <w:sz w:val="24"/>
          <w:szCs w:val="24"/>
        </w:rPr>
        <w:t>：</w:t>
      </w:r>
      <w:r>
        <w:rPr>
          <w:rFonts w:hint="eastAsia" w:ascii="楷体" w:hAnsi="楷体" w:eastAsia="楷体"/>
          <w:sz w:val="21"/>
          <w:szCs w:val="21"/>
        </w:rPr>
        <w:t>秩序</w:t>
      </w:r>
      <w:r>
        <w:rPr>
          <w:rFonts w:hint="eastAsia" w:ascii="楷体" w:hAnsi="楷体" w:eastAsia="楷体"/>
          <w:sz w:val="21"/>
          <w:szCs w:val="21"/>
          <w:lang w:val="en-US" w:eastAsia="zh-CN"/>
        </w:rPr>
        <w:t xml:space="preserve">  </w:t>
      </w:r>
      <w:r>
        <w:rPr>
          <w:rFonts w:hint="eastAsia" w:ascii="楷体" w:hAnsi="楷体" w:eastAsia="楷体"/>
          <w:sz w:val="21"/>
          <w:szCs w:val="21"/>
        </w:rPr>
        <w:t>人权</w:t>
      </w:r>
      <w:r>
        <w:rPr>
          <w:rFonts w:hint="eastAsia" w:ascii="楷体" w:hAnsi="楷体" w:eastAsia="楷体"/>
          <w:sz w:val="21"/>
          <w:szCs w:val="21"/>
          <w:lang w:val="en-US" w:eastAsia="zh-CN"/>
        </w:rPr>
        <w:t xml:space="preserve">  </w:t>
      </w:r>
      <w:r>
        <w:rPr>
          <w:rFonts w:hint="eastAsia" w:ascii="楷体" w:hAnsi="楷体" w:eastAsia="楷体"/>
          <w:sz w:val="21"/>
          <w:szCs w:val="21"/>
        </w:rPr>
        <w:t>法律价值</w:t>
      </w:r>
      <w:r>
        <w:rPr>
          <w:rFonts w:hint="eastAsia" w:ascii="楷体" w:hAnsi="楷体" w:eastAsia="楷体"/>
          <w:sz w:val="21"/>
          <w:szCs w:val="21"/>
          <w:lang w:val="en-US" w:eastAsia="zh-CN"/>
        </w:rPr>
        <w:t xml:space="preserve">  </w:t>
      </w:r>
      <w:r>
        <w:rPr>
          <w:rFonts w:hint="eastAsia" w:ascii="楷体" w:hAnsi="楷体" w:eastAsia="楷体"/>
          <w:sz w:val="21"/>
          <w:szCs w:val="21"/>
        </w:rPr>
        <w:t>刑事诉讼法</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textAlignment w:val="auto"/>
        <w:outlineLvl w:val="9"/>
        <w:rPr>
          <w:rFonts w:hint="eastAsia" w:ascii="楷体" w:hAnsi="楷体" w:eastAsia="楷体"/>
          <w:sz w:val="21"/>
          <w:szCs w:val="21"/>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textAlignment w:val="auto"/>
        <w:outlineLvl w:val="9"/>
        <w:rPr>
          <w:rFonts w:hint="eastAsia" w:ascii="楷体" w:hAnsi="楷体" w:eastAsia="楷体"/>
          <w:sz w:val="21"/>
          <w:szCs w:val="21"/>
        </w:rPr>
      </w:pP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引论</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从清末以来，中国进入了一个长久的社会转型期，法律转型即是题中应有之意</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16"/>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。1978年，我国拉开了改革开放的大幕，法制建设赢得了难得的历史机遇。1979年，中国制定了改革时期的第一部法律，即《中华人民共和国刑事诉讼法》（以下简称“刑诉法”）。</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17"/>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刑诉法的理念与规则紧随时代的步伐，响应了时代变革的主流需求，</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18"/>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先后经历了1996年、2012年两次修订，</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19"/>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逐步形成了一部较为完善的刑事诉讼法典。</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jc w:val="left"/>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改革近四十年来，刑诉法经历了一次制定与两次修改，看似波澜不惊的立法过程却实实在在地呈现了法律规则与法律体系的不断合理化与专业化，体现了科学立法的基本要求。同时，透过刑诉法的立法过程，亦可发现刑诉法背后的价值与理念之演进展现了法律与政治、文化、经济、社会的多维互动。如此，观察与分析刑诉法制定与修改背后的法律价值变迁，某种程度而言，则是勾勒了中国改革时期法治发展的基本图景。换言之，整个刑诉法的立法史即是中国现代法治的发展史。</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法律本身即是一套价值体系，法律价值是法律实践的出发点，它直接关系着人的生存与幸福。</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20"/>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就法律运行而言，法律价值贯穿于立法、司法、执法与守法之中。就立法与司法而言，在立法过程中，立法者对利益的分配既是认知历史与现实的经验，亦是考量多元化的价值理念。立法者将多样的价值诉求融入法律之中，渗透在每一法条的字里行间，表达着对传统的尊重与未来的期许。任何背离社会基本价值认同与趋势的法律，即便不被称之为恶法，其也难以在实践中发挥应有的作用。在司法过程中，法官行为展现的是对事实的认定与规则的适用，而背后则蕴含着法官对正义、公平、秩序、人权、效率等价值的基本衡量。价值衡量既源于法官对法律价值的规范认知，亦来自于决定法律价值的经验基础。社会的变迁带来价值的变与不变，刑诉法背后的价值逻辑展现了法律价值与不同领域所产生的诸种勾连。</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文基于中国改革的时代背景，从刑诉法的立法史出发，试图勾勒出刑诉法立法所呈现的价值理念演进之基本面貌；拟从法律与社会科学的多维度视角，试图阐述刑诉法之法律价值的演进与社会、政治等变迁之间的联系，分析法律价值演进的基础，并以此为基础尝试阐释此演进所蕴含的基本逻辑。</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textAlignment w:val="auto"/>
        <w:outlineLvl w:val="9"/>
        <w:rPr>
          <w:rFonts w:hint="default" w:ascii="Times New Roman" w:hAnsi="Times New Roman" w:eastAsia="宋体" w:cs="Times New Roman"/>
          <w:sz w:val="21"/>
          <w:szCs w:val="21"/>
        </w:rPr>
      </w:pP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一、刑诉法立法简述</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于中国而言，1979年是一个极其重要的年份。从混沌中走出的人民共和国面临着二次创业，饱经风霜的中国毅然抛弃了“以阶级斗争为纲”的革命话语及其意识形态，拨乱反正，从“革命法制”转向了对现代法制的追求。从1979年开始的立法活动显示了中国建设法制的决心，而此决心在2011年达到高潮——我国自信地宣示：中国特色社会主义法律体系已经形成。就我国法制发展史来看，1979年制定刑诉法是结束前一个时期“无法无天”的“革命”状态的重要法律尝试。制定1979年刑诉法是中国现代法制发展的里程碑，是中国社会转型在法律上的投影。刑诉法不仅使刑事司法活动在法律框架内运行、使刑事案件的处理有规则可循，而且更重要的意义是奠定了一系列规范价值的基础。刑诉法作为程序法，从某种程度而言，对其独立的程序价值的认可即是对我国传统“重实体、轻程序”的扭转，平衡实体与程序则是刑诉法需要解决的重要问题。值得注意的是，1979年刑诉法第8条</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21"/>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及总则所规定的“辩护”，从制度上确立了律师制度的合法性，更深远则是对犯罪嫌疑人或被告人权利的尊重与保障。</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22"/>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毫无疑问，1979年刑诉法填补了我国刑事程序法的制度空白，而从法律价值而言，虽然可以从辩护制度中一窥权利保障的萌芽，但是权利并未成为刑诉法价值的核心。基于当时的政治形势与社会情况，无论在立法与司法实践</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23"/>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中，秩序与效率价值显得比公平、正义、人权等价值更为重要，而这亦是无可厚非的。</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经过一段时间的立法与司法实践，为刑诉法中的“敌我斗争”思维解毒、完善刑事诉讼制度体系成为法律界的共识。1996年，李步云等著名法学家建言改“法制”为“法治”</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24"/>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，一字之易远不止语义学意义，简言之，法治更加贴合现代国家的基本治理结构和目标。同年，刑诉法迎来了首次修改。是次修改中，引人注目的是以“犯罪嫌疑人”取代“人犯”</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25"/>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，并进一步强调对犯罪嫌疑人的权利保障</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26"/>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一方面体现了无罪推定原则的贯彻，从法律上否定了“未审定罪”的倾向，另一方面这些努力则是直接体现了刑诉法对人权价值的继续深化。另外，“纠问式诉讼”对“对抗式诉讼”的吸收，改革了庭审模式，亦间接对辩护制度进行了强化，表面是力图消解了法官不中立的形象，根本上，则是强调对权利或人权的保障。1996年刑诉法的修改造就了新刑事司法制度，无论从制度还是价值来看，刑诉法基本实现了从传统向现代的转型</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27"/>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2004年“人权入宪”，作为宪法原则的尊重和保障人权奠定了人权在宪法法律上的重要地位，甚至可以说，人权原则的确立将从根本上改变中国法律的观念基础，促使法律运行诸过程的价值选择更趋于现代法治要求。刑诉法不仅是我国法律体系中“涉宪性”的基本法律，而且其直接关涉着人权问题</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28"/>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，刑诉法与宪法原则相协调迫在眉睫。2012年，刑诉法的修改核心即是平衡惩罚犯罪与人权保障</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29"/>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，而“以尊重和保障人权为主题”</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30"/>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的修法则首次使保障人权的宪法原则载入我国的部门法之中，而如确立非法证据规则，更是将刑诉法的人权保障属性表现得淋漓尽致。</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由刑诉法的三次立法行为观之，就法律价值而言，虽然在惩罚犯罪与保障人权、公平与效率间存在时代之局限，意即惩罚强过权利之保障，效率优先于对公平的强调，但是，权利/人权一直列于刑诉法的价值序列之中，而且显而易见的是人权逐步成为价值序列中的高级规范。人权是“世界潮流”、人类基本价值，这些都是从广义及广阔的层面给出关于人权的论断，具有明显普世性意味。当然，人权作为规范价值，其伦理化趋势无可避免</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31"/>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但是就本文所粗线条勾勒的刑诉法价值发展轨迹而言，呈现的法律价值依旧是经验上的认知，即讨论的是刑诉法的法律价值在历史进程中是什么，而非规范意义的应当如何。总之，在刑诉法所呈现的基本价值中，公平与正义是刑诉法根基性的价值要求，秩序与人权，效率则更多是技术性的考量。从历史经验来看，我国刑诉法在价值选择上，从重视秩序逐步转向重视人权，此趋势以中国社会的变迁为基础。</w:t>
      </w:r>
    </w:p>
    <w:p>
      <w:pPr>
        <w:keepNext w:val="0"/>
        <w:keepLines w:val="0"/>
        <w:pageBreakBefore w:val="0"/>
        <w:widowControl/>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default" w:ascii="Times New Roman" w:hAnsi="Times New Roman" w:eastAsia="宋体" w:cs="Times New Roman"/>
          <w:sz w:val="21"/>
          <w:szCs w:val="21"/>
        </w:rPr>
      </w:pPr>
    </w:p>
    <w:p>
      <w:pPr>
        <w:keepNext w:val="0"/>
        <w:keepLines w:val="0"/>
        <w:pageBreakBefore w:val="0"/>
        <w:widowControl/>
        <w:kinsoku/>
        <w:wordWrap/>
        <w:overflowPunct/>
        <w:topLinePunct w:val="0"/>
        <w:autoSpaceDE/>
        <w:autoSpaceDN/>
        <w:bidi w:val="0"/>
        <w:adjustRightInd w:val="0"/>
        <w:snapToGrid w:val="0"/>
        <w:spacing w:line="24" w:lineRule="atLeast"/>
        <w:ind w:left="0" w:leftChars="0" w:right="0" w:rightChars="0" w:firstLine="0" w:firstLineChars="0"/>
        <w:jc w:val="center"/>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二、法律价值演进的基础</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中国进入改革开放时代以来，国家经济实力和人民生活水平逐步提高，人民的权利意识勃兴，背后对应的是对人治的彻底否定及对法治的高度宣扬。现代法治的基本要求就是通过法律对权利/人权的肯定与认可，而前者正是以后者为前提的</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32"/>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建设法治社会，最基本的是要使法律成为人们的基本生活方式，使权利融入人们的生活经验认知之中。对于公民权利的保障，涉及的是对公民法律地位的认可，对法律规范的合理适用，而更为根本的是将尊重和保障人权的宪法原则贯彻于法律运动的方方面面。毫无疑问，受刑事追诉者是最易受到权利侵害的群体，面对国家机关的强势，甚至媒体对信息的垄断，“民愤”使受刑事追诉者的权利时刻处于危机之中，这并非特例，某种程度</w:t>
      </w:r>
      <w:r>
        <w:rPr>
          <w:rFonts w:hint="eastAsia" w:ascii="Times New Roman" w:hAnsi="Times New Roman" w:eastAsia="宋体" w:cs="Times New Roman"/>
          <w:sz w:val="21"/>
          <w:szCs w:val="21"/>
        </w:rPr>
        <w:t>而</w:t>
      </w:r>
      <w:r>
        <w:rPr>
          <w:rFonts w:hint="default" w:ascii="Times New Roman" w:hAnsi="Times New Roman" w:eastAsia="宋体" w:cs="Times New Roman"/>
          <w:sz w:val="21"/>
          <w:szCs w:val="21"/>
        </w:rPr>
        <w:t>言，这即是常态。冤假错案存在的可能性及难以避免性使对受刑事追诉者的权利保障具有明显的现实基础，使最脆弱的人之权利得到切实保障，是维护社会秩序，建立现代法治社会的现实需求。</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33"/>
      </w:r>
      <w:r>
        <w:rPr>
          <w:rStyle w:val="12"/>
          <w:rFonts w:hint="default" w:ascii="Times New Roman" w:hAnsi="Times New Roman" w:eastAsia="宋体" w:cs="Times New Roman"/>
          <w:sz w:val="21"/>
          <w:szCs w:val="21"/>
        </w:rPr>
        <w:t>]</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就我国建设法治的目标而言，一方面是要建立自身特色的法律体系，另一方面则是要融入全球法治、借鉴有益的人类法治经验，强调刑诉法的人权价值实际就是要完成了上述两方面的要求。帝制中国的礼法体制，虽被斥为“道德干涉法律”，但是法律何尝不是源于道德，“德性的践履”与“权利的实行”本就可以并行不悖，</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34"/>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二者共同构筑了理解我国政治与法律制度的基本维度。“我们的时代是权利的时代。人权是我们时代的观念，是已经得到普遍接受的唯一的政治与道德观念。”</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35"/>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在刑诉法中落实对人权的尊重与保障是对世界发展趋势的正确认知，亦是融入全球法治/人权治理的基本步骤。人权在我国长期被误解、曲解，如何为人权“脱敏”成为中国法治建设的重要问题。</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36"/>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实际上，在法律实践中，落实人权宪法原则就是“脱敏”的最佳步骤；就法律运行而言，实现与完善人权的司法保障既是践行法律价值的内在要求，亦是为建构中国的人权话语</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37"/>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积累了经验。可以说，刑诉法对法律价值的践行从国内与国际两个层面均具有必然性。</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刑诉法的价值序列上的诸种价值在重要性上毋庸置疑，唯一不同的仅是重视程度与现实需要的不同。在刑诉法的制定与修改中，法律价值并非固守僵化，而是逐步变迁，若从整体上看，可以说，刑诉法的法律价值是从秩序到人权的演进，演进的基础则是我国经济、社会所经历的历史性变革。</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Times New Roman" w:hAnsi="Times New Roman" w:eastAsia="宋体" w:cs="Times New Roman"/>
          <w:sz w:val="21"/>
          <w:szCs w:val="21"/>
        </w:rPr>
      </w:pP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三、法律价值演进的逻辑</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一般而言，法律立基于社会习俗（social conventions），如此，法律价值所体现的法律规范需求（normative demands）则亦不可脱离社会。</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38"/>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法律价值深植于人们内心，展现了人们对历史传统、社会实践与理想生活的追求。实际上，法律所具有的强制力使之明显区分其他一般性习俗，而其规范需求则具有更为广泛的塑造能力。如此，法律价值本身源于社会实践，而法律价值因其属性而对形塑社会拥有巨大影响力。从经验维度来看，刑诉法的价值演进最基本的就是社会逻辑，此逻辑的基础是价值对于事实的反馈，即法律价值对于社会诉求的提炼。法律价值应建立于社会共识的基础上，推行单边的价值理念结果是撕裂社会，如美国宪法曾经不切实际推行禁酒令</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39"/>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其背后是限制自由价值，最终结果反而使社会秩序陷入混乱的危局。总之，法律价值演进的社会逻辑核心在于对社会状况与需求的深刻认识，重视现实需求就是要克制将不符合社会发展实际的道德规范、宗教戒律等纳入法律，以避免有法难行，甚至“好心办坏事”的情况发生。</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刑诉法从1979年诞生到1996年、2012年两次修改，除了反映了整个中国社会的发展，亦呈现了中国政治的进步。改革以来，刑诉法的法律价值从秩序、效率到人权，政治是此演进背后所蕴含的基本逻辑。法律必须以政治为基础，其运行的整个过程必须得到政治力量的强大支持，否则，法律不仅仅是纸面上的法，更是潜在的破坏性力量。法律与政治的内在关联并非人为建构而是客观事实，承认法律与政治的关联性是为了更好地建立规则，否则法律就成了脱离现实需要的空谈义理，轻则制造不公，重则导致秩序混乱。法律与政治均与利益相关，而政治在事实与逻辑上要先于法律，如此政治则是法律发展的根本动力。</w:t>
      </w:r>
      <w:r>
        <w:rPr>
          <w:rStyle w:val="12"/>
          <w:rFonts w:hint="default" w:ascii="Times New Roman" w:hAnsi="Times New Roman" w:eastAsia="宋体" w:cs="Times New Roman"/>
          <w:sz w:val="21"/>
          <w:szCs w:val="21"/>
        </w:rPr>
        <w:t>[</w:t>
      </w:r>
      <w:r>
        <w:rPr>
          <w:rStyle w:val="12"/>
          <w:rFonts w:hint="default" w:ascii="Times New Roman" w:hAnsi="Times New Roman" w:eastAsia="宋体" w:cs="Times New Roman"/>
          <w:sz w:val="21"/>
          <w:szCs w:val="21"/>
        </w:rPr>
        <w:footnoteReference w:id="40"/>
      </w:r>
      <w:r>
        <w:rPr>
          <w:rStyle w:val="12"/>
          <w:rFonts w:hint="default" w:ascii="Times New Roman" w:hAnsi="Times New Roman" w:eastAsia="宋体" w:cs="Times New Roman"/>
          <w:sz w:val="21"/>
          <w:szCs w:val="21"/>
        </w:rPr>
        <w:t>]</w:t>
      </w:r>
      <w:r>
        <w:rPr>
          <w:rFonts w:hint="default" w:ascii="Times New Roman" w:hAnsi="Times New Roman" w:eastAsia="宋体" w:cs="Times New Roman"/>
          <w:sz w:val="21"/>
          <w:szCs w:val="21"/>
        </w:rPr>
        <w:t>1978年，中国开始改革开放，在邓小平、彭真等的领导与推动下，中国法律体系开始重建。首当其冲的是对秩序的恢复，而1979年的刑诉法则以秩序为价值要旨。在接下来的十余年，刑诉法在惩罚犯罪中贯彻了对秩序价值的坚持。1997年党的十五大宣布建设社会主义法治国家，依法治国成为基本方略，虽然于时间上晚于刑诉法的修改，而实际上，提出法治是经过长期酝酿，“要法治，不要人治”早已成为共识。此次修改重视程序正义，将刑诉法的正义价值进行了多维度重构。2004年宪法修改纳入人权原则，对于人权的重视已经提升到国家根本法的地位。作为首部落实人权宪法原则的部门法，刑诉法对于人权价值的重视从各项具体刑事诉讼制度中即可明显发现。由此，不难从刑诉法制定与修改的政治背景中发现，政治作为法律发展的动力源，重大的政治或法治事件对法律产生了直接影响，成为法律价值演进的重要且基本影响因素；而政治的诸多诉求亦通过法律得到宣示，如此，法律价值在演进中所蕴含着政治逻辑则是显明而重要的。</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Times New Roman" w:hAnsi="Times New Roman" w:eastAsia="宋体" w:cs="Times New Roman"/>
          <w:sz w:val="21"/>
          <w:szCs w:val="21"/>
        </w:rPr>
      </w:pP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余论</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自1978年以来，中国追求建立现代法治的热情从未减弱，“依法治国”成为党和国家的基本方略之后，“全面建设法治”更是从全方位鼓舞着法治建设的稳步推进。以惩罚犯罪与保障人权为目标的刑诉法是我国刑事司法制度的基本法律依据，“法律是治国之重器，良法是善治之前提。”要避免恶法的出现势必重视蕴含于制度与规则之中的法律价值。刑诉法搭起了连接国家机关与受刑事追诉者、受害人的桥梁，桥梁的牢固与可靠在于质料，而质料的核心在于蓝图与理念。法律价值作为刑诉法构建与运行的基本理念，其规范属性并非是要构建一个空中楼阁，或是建立一个价值的“天城”，而于实践中一无是处。实际上，无论是立法还是司法，法律价值均发挥着它固有的作用，在规范属性之外，其经验属性造就其实践的可能性，使它影响着立法者与法官的思维，而这一思维则以社会与政治的合理经验为基础。要建设现代法治，势必难以逃避种种难题与困境，但是，随着社会共识的逐步凝结，对社会需求的妥当回应，中国特色社会主义法治必然会随着中国政治、社会的进步而成为世界法治诸种模式中的模范。</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420" w:firstLineChars="200"/>
        <w:textAlignment w:val="auto"/>
        <w:outlineLvl w:val="9"/>
        <w:rPr>
          <w:rFonts w:hint="eastAsia" w:ascii="Times New Roman" w:hAnsi="Times New Roman" w:eastAsia="宋体" w:cs="Times New Roman"/>
          <w:sz w:val="21"/>
          <w:szCs w:val="21"/>
          <w:lang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both"/>
        <w:textAlignment w:val="auto"/>
        <w:rPr>
          <w:rFonts w:hint="eastAsia" w:ascii="黑体" w:hAnsi="宋体" w:eastAsia="黑体"/>
          <w:b/>
          <w:bCs/>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both"/>
        <w:textAlignment w:val="auto"/>
        <w:rPr>
          <w:rFonts w:hint="eastAsia" w:ascii="黑体" w:hAnsi="宋体" w:eastAsia="黑体"/>
          <w:b/>
          <w:bCs/>
          <w:sz w:val="32"/>
          <w:szCs w:val="32"/>
        </w:rPr>
      </w:pPr>
      <w:r>
        <w:rPr>
          <w:rFonts w:hint="eastAsia" w:cs="Times New Roman"/>
          <w:sz w:val="21"/>
          <w:szCs w:val="21"/>
          <w:lang w:val="en-US" w:eastAsia="zh-CN"/>
        </w:rPr>
        <w:t xml:space="preserve">                                                            </w:t>
      </w:r>
      <w:r>
        <w:rPr>
          <w:rFonts w:hint="eastAsia" w:ascii="Times New Roman" w:hAnsi="Times New Roman" w:cs="Times New Roman"/>
          <w:sz w:val="21"/>
          <w:szCs w:val="21"/>
          <w:lang w:val="en-US" w:eastAsia="zh-CN"/>
        </w:rPr>
        <w:t xml:space="preserve">（责任编辑： </w:t>
      </w:r>
      <w:r>
        <w:rPr>
          <w:rFonts w:hint="eastAsia" w:cs="Times New Roman"/>
          <w:sz w:val="21"/>
          <w:szCs w:val="21"/>
          <w:lang w:val="en-US" w:eastAsia="zh-CN"/>
        </w:rPr>
        <w:t>张学敏</w:t>
      </w:r>
      <w:r>
        <w:rPr>
          <w:rFonts w:hint="eastAsia" w:ascii="Times New Roman" w:hAnsi="Times New Roman"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both"/>
        <w:textAlignment w:val="auto"/>
        <w:rPr>
          <w:rFonts w:hint="eastAsia" w:ascii="黑体" w:hAnsi="宋体" w:eastAsia="黑体"/>
          <w:b/>
          <w:bCs/>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both"/>
        <w:textAlignment w:val="auto"/>
        <w:rPr>
          <w:rFonts w:hint="eastAsia" w:ascii="黑体" w:hAnsi="宋体" w:eastAsia="黑体"/>
          <w:b/>
          <w:bCs/>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both"/>
        <w:textAlignment w:val="auto"/>
        <w:rPr>
          <w:rFonts w:hint="eastAsia" w:ascii="黑体" w:hAnsi="宋体" w:eastAsia="黑体"/>
          <w:b/>
          <w:bCs/>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both"/>
        <w:textAlignment w:val="auto"/>
        <w:rPr>
          <w:rFonts w:hint="eastAsia" w:ascii="黑体" w:hAnsi="宋体" w:eastAsia="黑体"/>
          <w:b/>
          <w:bCs/>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right="0" w:rightChars="0"/>
        <w:jc w:val="both"/>
        <w:textAlignment w:val="auto"/>
        <w:rPr>
          <w:rFonts w:hint="eastAsia" w:ascii="黑体" w:hAnsi="宋体"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黑体" w:hAnsi="黑体" w:eastAsia="黑体"/>
          <w:b/>
          <w:bCs/>
          <w:sz w:val="32"/>
          <w:szCs w:val="32"/>
        </w:rPr>
      </w:pPr>
      <w:r>
        <w:rPr>
          <w:rFonts w:hint="eastAsia" w:ascii="黑体" w:hAnsi="黑体" w:eastAsia="黑体"/>
          <w:b/>
          <w:bCs/>
          <w:sz w:val="32"/>
          <w:szCs w:val="32"/>
        </w:rPr>
        <w:t>大数据时代下个人信息权的法律保护研究</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黑体" w:hAnsi="黑体" w:eastAsia="黑体"/>
          <w:b/>
          <w:bCs/>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center"/>
        <w:textAlignment w:val="auto"/>
        <w:rPr>
          <w:rFonts w:hint="eastAsia" w:ascii="宋体" w:hAnsi="宋体" w:eastAsia="宋体" w:cs="宋体"/>
          <w:b w:val="0"/>
          <w:bCs w:val="0"/>
          <w:color w:val="auto"/>
          <w:kern w:val="2"/>
          <w:sz w:val="21"/>
          <w:szCs w:val="21"/>
          <w:vertAlign w:val="superscript"/>
          <w:lang w:val="en-US" w:eastAsia="zh-CN" w:bidi="ar-SA"/>
        </w:rPr>
      </w:pPr>
      <w:r>
        <w:rPr>
          <w:rFonts w:hint="eastAsia" w:ascii="宋体" w:hAnsi="宋体"/>
          <w:sz w:val="21"/>
          <w:szCs w:val="21"/>
        </w:rPr>
        <w:t>朱垒</w:t>
      </w:r>
      <w:r>
        <w:rPr>
          <w:rStyle w:val="12"/>
          <w:rFonts w:hint="eastAsia" w:ascii="宋体" w:hAnsi="宋体" w:eastAsia="宋体" w:cs="宋体"/>
          <w:b w:val="0"/>
          <w:bCs w:val="0"/>
          <w:color w:val="auto"/>
          <w:kern w:val="2"/>
          <w:sz w:val="21"/>
          <w:szCs w:val="21"/>
          <w:lang w:val="en-US" w:eastAsia="zh-CN" w:bidi="ar-SA"/>
        </w:rPr>
        <w:footnoteReference w:id="41" w:customMarkFollows="1"/>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center"/>
        <w:textAlignment w:val="auto"/>
        <w:rPr>
          <w:rFonts w:hint="default" w:ascii="宋体" w:hAnsi="宋体" w:eastAsia="宋体" w:cs="宋体"/>
          <w:b w:val="0"/>
          <w:bCs w:val="0"/>
          <w:color w:val="auto"/>
          <w:kern w:val="2"/>
          <w:sz w:val="21"/>
          <w:szCs w:val="21"/>
          <w:vertAlign w:val="superscript"/>
          <w:lang w:val="en-US" w:eastAsia="zh-CN" w:bidi="ar-SA"/>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eastAsia="楷体" w:cs="Times New Roman"/>
          <w:sz w:val="21"/>
          <w:szCs w:val="21"/>
        </w:rPr>
      </w:pPr>
      <w:r>
        <w:rPr>
          <w:rFonts w:hint="default" w:ascii="Times New Roman" w:hAnsi="Times New Roman" w:cs="Times New Roman"/>
          <w:b/>
          <w:sz w:val="21"/>
          <w:szCs w:val="21"/>
        </w:rPr>
        <w:t>摘  要</w:t>
      </w:r>
      <w:r>
        <w:rPr>
          <w:rFonts w:hint="default" w:ascii="Times New Roman" w:hAnsi="Times New Roman" w:cs="Times New Roman"/>
          <w:b/>
          <w:sz w:val="21"/>
          <w:szCs w:val="21"/>
          <w:lang w:eastAsia="zh-CN"/>
        </w:rPr>
        <w:t>：</w:t>
      </w:r>
      <w:r>
        <w:rPr>
          <w:rFonts w:hint="default" w:ascii="Times New Roman" w:hAnsi="Times New Roman" w:eastAsia="楷体" w:cs="Times New Roman"/>
          <w:sz w:val="21"/>
          <w:szCs w:val="21"/>
        </w:rPr>
        <w:t>科技革命的发展使人们能够便捷地获取信息、分享信息，作为一种有个人识别性的个人信息数量而呈现暴增的趋势。随着大数据时代的到来，仅作为识别符号的个人信息开始逐渐转变成一种具有巨大价值的资源。人们在享受科技带来的便利的同时也面临着巨大的风险，近年来侵害个人信息的不法行为日益增多，个人信息不法收集、泄露、非法使用等现象频发。然而我国尚未对个人信息进行专门立法。一些个人信息保护制度也是分布在各个法律部门零散条文规定中。而传统的司法将个人信息侵权案件适用侵犯隐私权、肖像权等法律规范处理。然而很多个人信息权侵害案件不能寻求合理的法律救济。个人信息流转与保护的价值冲突的平衡也成为了各社会科学的难题。在法学界个人信息法律保护研究成了近年来学者研究的热点。本文中笔者从大数据着手，分析大数据时代下的个人信息，对其进行概念的厘定，并结合现今紧迫的形势，通过研究个人信息权的涵义，与隐私权进行区别分析，进一步阐明个人信息权法律保护的必要性。此外，笔者进一步对域外的相关法律制度进行比较法分析，从而提出相关制度构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default" w:ascii="Times New Roman" w:hAnsi="Times New Roman" w:eastAsia="楷体" w:cs="Times New Roman"/>
          <w:sz w:val="21"/>
          <w:szCs w:val="21"/>
        </w:rPr>
      </w:pPr>
      <w:r>
        <w:rPr>
          <w:rFonts w:hint="default" w:ascii="Times New Roman" w:hAnsi="Times New Roman" w:cs="Times New Roman"/>
          <w:b/>
          <w:sz w:val="21"/>
          <w:szCs w:val="21"/>
        </w:rPr>
        <w:t>关键词</w:t>
      </w:r>
      <w:r>
        <w:rPr>
          <w:rFonts w:hint="default" w:ascii="Times New Roman" w:hAnsi="Times New Roman" w:cs="Times New Roman"/>
          <w:b/>
          <w:sz w:val="21"/>
          <w:szCs w:val="21"/>
          <w:lang w:eastAsia="zh-CN"/>
        </w:rPr>
        <w:t>：</w:t>
      </w:r>
      <w:r>
        <w:rPr>
          <w:rFonts w:hint="default" w:ascii="Times New Roman" w:hAnsi="Times New Roman" w:eastAsia="楷体" w:cs="Times New Roman"/>
          <w:sz w:val="21"/>
          <w:szCs w:val="21"/>
        </w:rPr>
        <w:t>个人信息  个人信息权  信息自决  大数据  法律保护</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Times New Roman" w:hAnsi="Times New Roman" w:eastAsia="楷体" w:cs="Times New Roman"/>
          <w:sz w:val="21"/>
          <w:szCs w:val="21"/>
        </w:rPr>
      </w:pPr>
    </w:p>
    <w:p>
      <w:pPr>
        <w:pStyle w:val="15"/>
        <w:keepNext w:val="0"/>
        <w:keepLines w:val="0"/>
        <w:pageBreakBefore w:val="0"/>
        <w:widowControl w:val="0"/>
        <w:kinsoku/>
        <w:wordWrap/>
        <w:overflowPunct/>
        <w:topLinePunct w:val="0"/>
        <w:autoSpaceDE/>
        <w:autoSpaceDN/>
        <w:bidi w:val="0"/>
        <w:adjustRightInd/>
        <w:snapToGrid/>
        <w:spacing w:line="240" w:lineRule="auto"/>
        <w:ind w:left="420" w:leftChars="200" w:right="0" w:rightChars="0" w:firstLine="0" w:firstLineChars="0"/>
        <w:jc w:val="center"/>
        <w:textAlignment w:val="auto"/>
        <w:rPr>
          <w:rFonts w:hint="default" w:ascii="Times New Roman" w:hAnsi="Times New Roman" w:cs="Times New Roman"/>
          <w:szCs w:val="21"/>
        </w:rPr>
      </w:pPr>
      <w:r>
        <w:rPr>
          <w:rFonts w:hint="eastAsia" w:ascii="黑体" w:hAnsi="黑体" w:eastAsia="黑体"/>
          <w:b/>
          <w:sz w:val="28"/>
          <w:szCs w:val="30"/>
        </w:rPr>
        <w:t>引</w:t>
      </w:r>
      <w:r>
        <w:rPr>
          <w:rFonts w:hint="eastAsia" w:ascii="黑体" w:hAnsi="黑体" w:eastAsia="黑体"/>
          <w:b/>
          <w:sz w:val="28"/>
          <w:szCs w:val="30"/>
          <w:lang w:val="en-US" w:eastAsia="zh-CN"/>
        </w:rPr>
        <w:t xml:space="preserve"> </w:t>
      </w:r>
      <w:r>
        <w:rPr>
          <w:rFonts w:hint="eastAsia" w:ascii="黑体" w:hAnsi="黑体" w:eastAsia="黑体"/>
          <w:b/>
          <w:sz w:val="28"/>
          <w:szCs w:val="30"/>
        </w:rPr>
        <w:t>言</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szCs w:val="21"/>
        </w:rPr>
      </w:pPr>
      <w:r>
        <w:rPr>
          <w:rFonts w:hint="default" w:ascii="Times New Roman" w:hAnsi="Times New Roman" w:cs="Times New Roman"/>
          <w:szCs w:val="21"/>
        </w:rPr>
        <w:t>随着物联网、云计算、云储存等高科技的迅猛发展，加之微博、微信、淘宝等各类新媒体方式的涌现，人们每天进行的信息活动都会产生大量的数据，数据呈现出了爆炸式的增长趋势，“大数据”一词出现在人们的视野中。为了处理海量的数据，信息实务界开发了“大数据挖掘”（Data Mining）和联机分析处理（OLAP）等工具，通过精确定位、快速捕捉与分析，从海量数据中提取出有价值的内容。在大数据时代背景下，数据由量变走向了质变，成为了一种新型掘取利益的资源库。在大数据时代下，个人信息除了具有身份识别和相互交往的价值外，还作为一种重要资源被赋予了经济价值。这些个人信息通过数据的形式被收集、整合、分析和利用，个人信息安全迎来了前所未有的挑战。近年来网络上出现不少非法收集、倒卖、散布、披露公民个人信息的乱象，导致公民个人信息安全受到很大冲击，同时也对国家安全巨大威胁。我国法律对个人信息的保护力度相对偏弱，一些相关保护条文也只是分布在部门法规范和行业规范中。如我国刑法修正案九规定，对违反国家规定向他人出售或提供公民个人信息情节严重的采取刑事处罚。此外，我国对个人信息保护的范畴仅限于隐私权部分，然而由于个人信息与隐私并不可等同而语，因此有必要单独对个人信息进行全面的法律保护。在我国研究个人信息保护的法学学者为数不多，大多集中在计算机科学领域，其中最早研究从法学视角研究个人信息保护问题的是史卫民教授。鉴于以上现状，笔者尝试从法学视角，对大数据时代下个人信息的涵义进行研究，结合大数据时代背景下个人信息面临的挑战，对个人信息权的概念、特征、实质、内容等进行研究，考察域外的相关法律制度，最终找出一条适合我国国情的个人信息保护之路，在大数据科技发展和个人信息保护价值冲突中寻找平衡。</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szCs w:val="21"/>
        </w:rPr>
      </w:pPr>
    </w:p>
    <w:p>
      <w:pPr>
        <w:pStyle w:val="15"/>
        <w:keepNext w:val="0"/>
        <w:keepLines w:val="0"/>
        <w:pageBreakBefore w:val="0"/>
        <w:widowControl w:val="0"/>
        <w:kinsoku/>
        <w:wordWrap/>
        <w:overflowPunct/>
        <w:topLinePunct w:val="0"/>
        <w:autoSpaceDE/>
        <w:autoSpaceDN/>
        <w:bidi w:val="0"/>
        <w:adjustRightInd/>
        <w:snapToGrid/>
        <w:spacing w:line="240" w:lineRule="auto"/>
        <w:ind w:left="843" w:leftChars="0" w:right="0" w:rightChars="0" w:hanging="843" w:hangingChars="300"/>
        <w:jc w:val="center"/>
        <w:textAlignment w:val="auto"/>
        <w:outlineLvl w:val="9"/>
        <w:rPr>
          <w:rFonts w:hint="eastAsia" w:ascii="宋体" w:hAnsi="宋体"/>
          <w:b/>
          <w:sz w:val="21"/>
          <w:szCs w:val="21"/>
        </w:rPr>
      </w:pPr>
      <w:r>
        <w:rPr>
          <w:rFonts w:hint="eastAsia" w:ascii="黑体" w:hAnsi="黑体" w:eastAsia="黑体"/>
          <w:b/>
          <w:sz w:val="28"/>
          <w:szCs w:val="30"/>
        </w:rPr>
        <w:t>一、大数据时代下的个人信息概述</w:t>
      </w:r>
    </w:p>
    <w:p>
      <w:pPr>
        <w:pStyle w:val="15"/>
        <w:keepNext w:val="0"/>
        <w:keepLines w:val="0"/>
        <w:pageBreakBefore w:val="0"/>
        <w:widowControl w:val="0"/>
        <w:kinsoku/>
        <w:wordWrap/>
        <w:overflowPunct/>
        <w:topLinePunct w:val="0"/>
        <w:autoSpaceDE/>
        <w:autoSpaceDN/>
        <w:bidi w:val="0"/>
        <w:adjustRightInd/>
        <w:snapToGrid/>
        <w:spacing w:line="288" w:lineRule="auto"/>
        <w:ind w:right="0" w:rightChars="0" w:firstLineChars="0"/>
        <w:jc w:val="both"/>
        <w:textAlignment w:val="auto"/>
        <w:outlineLvl w:val="9"/>
        <w:rPr>
          <w:rFonts w:ascii="宋体" w:hAnsi="宋体"/>
          <w:b/>
          <w:sz w:val="24"/>
          <w:szCs w:val="28"/>
        </w:rPr>
      </w:pPr>
      <w:r>
        <w:rPr>
          <w:rFonts w:hint="eastAsia" w:ascii="宋体" w:hAnsi="宋体"/>
          <w:b/>
          <w:sz w:val="24"/>
          <w:szCs w:val="28"/>
        </w:rPr>
        <w:t>（一）大数据时代概述</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1998年Cass.T在一篇名为《A Handler of Big Data》的论文中首次提出“大数据”这一概念。美国麦肯锡研究院于2011年5月发表的名为《The next frontier for innovation,competition and productivity》的论文中首次对大数据进行定义，此后大数据在商业领域引起巨大反响。西方发达国家将其上升为国家政策，而我国在2015年李克强总理提出的“互联网”+计划强调大数据与制造业的结合发展。所谓大数据，根据麦肯锡的定义可知，大数据是数据体超出传统数据库可以承载、处理、计算的庞大数据集合。通俗而讲，大数据就是通过从海量的、多样化的数据中快速的采集、整合、分析，从中挖掘出有价值的信息，这些信息这些处理可以为社会主体提供判断依据，其涉及面广至政府宏观调控、企业经营决策、个人行为选择等各个方面。正如2016年5月12日“浙朵云”文化产业大数据服务平台的启动，企业可以通过“浙朵云”了解消费者的文化需求，政府也可以通过这个平台更好地对企业进行管理。“浙朵云”由文化产业数据、资讯、服务三大版块组成，整合了浙江乃至全国的文化产业数字资源，浙江文化企业可以通过大数据技术，对大规模人群的喜好进行分析，从而明确目标受众的品味和需求，创造出适销对路的文化产品。“浙朵云”除了为企业提供服务之外，也为政府的管理提供了方便。相关企业的目标客户、发展方向等都会存入数据库，政府则可以通过分析这些数据，提高决策的准确性，更好地制定发展战略。</w:t>
      </w:r>
      <w:r>
        <w:rPr>
          <w:rStyle w:val="12"/>
          <w:rFonts w:hint="default" w:ascii="Times New Roman" w:hAnsi="Times New Roman" w:cs="Times New Roman"/>
        </w:rPr>
        <w:t>[</w:t>
      </w:r>
      <w:r>
        <w:rPr>
          <w:rStyle w:val="12"/>
          <w:rFonts w:hint="default" w:ascii="Times New Roman" w:hAnsi="Times New Roman" w:cs="Times New Roman"/>
        </w:rPr>
        <w:footnoteReference w:id="42"/>
      </w:r>
      <w:r>
        <w:rPr>
          <w:rStyle w:val="12"/>
          <w:rFonts w:hint="default" w:ascii="Times New Roman" w:hAnsi="Times New Roman" w:cs="Times New Roman"/>
        </w:rPr>
        <w:t>]</w:t>
      </w:r>
      <w:r>
        <w:rPr>
          <w:rFonts w:hint="default" w:ascii="Times New Roman" w:hAnsi="Times New Roman" w:cs="Times New Roman"/>
        </w:rPr>
        <w:t>（引用http://zjnews.china.com.cn/yuanchuan/2016-05-15/81029.html）</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目前对于大数据的特征，普遍通说是典型的4V特点：即volume、variety、value、velocity。首先，volume代表数据量的巨大和庞杂。其次，variety代表数据类型的多样化。大数据中包括交易数据、交互数据、传感数据等类型。再次，value代表了数据价值的巨大。有学者将大数据比喻为“未来的石油”，大数据的价值也在日益凸显。最后，velocity代表大数据处理技术速度快。这四点特征之间有隐含的内在逻辑关系。数据的大量和多样性使其可挖掘的价值就高，而处理海量庞杂的数据，必须提高技术水平，提高数据处理的速度，从而适应这样一个快速的大数据时代。如今云计算等科技的出现解决了这一问题，当然，大数据的时代正在向前发展，未来的大好趋势也显而易见。</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在如今这样一个网络时代，大数据主要来源于互联网终端、移动终端、社交网络平台和网购平台。人们在社交平台上的信息以及网络交易的信息等都是形成大数据的源泉。同样，通过移动终端如健康手环等上传的个人信息都将被作为大数据进行处理。大数据时代给我们的生活带来了巨大变革，对于数据的处理重视整体分析和数据之间的相关关系，处理数据得出的是某一事物的发展趋势，其强大性让人不由担心未来信息保护的问题严峻性。大数据时代的到来给社会科学带来了一大难题，就是科技自由发展与个人信息保护之间的价值冲突。为平衡这一问题，必须在制度上做好建设工作。</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236" w:firstLineChars="98"/>
        <w:jc w:val="both"/>
        <w:textAlignment w:val="auto"/>
        <w:outlineLvl w:val="9"/>
        <w:rPr>
          <w:rFonts w:hint="default" w:ascii="Times New Roman" w:hAnsi="Times New Roman" w:cs="Times New Roman"/>
          <w:b/>
          <w:sz w:val="24"/>
          <w:szCs w:val="28"/>
        </w:rPr>
      </w:pPr>
      <w:r>
        <w:rPr>
          <w:rFonts w:hint="default" w:ascii="Times New Roman" w:hAnsi="Times New Roman" w:cs="Times New Roman"/>
          <w:b/>
          <w:sz w:val="24"/>
          <w:szCs w:val="28"/>
        </w:rPr>
        <w:t>（二）大数据时代个人信息概述</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个人信息是什么？法律为何给予个人信息保护？这是本篇论文研究的重点。个人信息与我们的生活息息相关，它代表了我们的生活轨迹，与我们的人格尊严、生活自由紧密相连。尤其在大数据时代背景下，个人信息还会产生巨大的利益价值。对其概念的澄清有助于法律提供适当的保护，同时也有助于建立完善的相关制度架构。</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个人信息的概念厘定</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个人信息这一概念由来已久，各国学界和立法机关也对个人信息有着不同的认识。根据王利明教授的观点，个人信息是指与特定个人相关联、反应个体特征的具有可识别性的符号系统，包括个人身份、工作、家庭、财产、健康等方面的信息。国家工商行政管理总局2015年1月5日发布的《侵害消费者权益行为处罚办法》中规定，消费者个人信息是指经营者在提供商品或者服务活动中收集的消费者姓名、性别、职业、出生日期、身份证号、住址、联系方式、收入和财产状况、健康状况、消费状况等能够单独或者与其他信息结合识别消费者的信息。1981年欧洲理事会通过的《保护个人信息自动化处理公约》对个人信息界定为已识别或可识别的与个人相关的任何信息。也有学者采用隐私型定义法，认为个人信息是不愿为他人知道的个人秘密或者为少数人知悉的个人私事。美国立法也将隐私权囊括了大部分的个人信息内容。然而在我国隐私与个人信息并不能等同，两者具有相互交叉重叠性。下文的个人信息权与隐私权的界分时会对此进行详细阐述。台湾地区以及欧盟相关条约中提到的 “个人数据”一词实际上与个人信息的内涵基本相同，只不过提法不同。结合众多定义，笔者发现，个人信息有两个突出特点，首先其主体仅限自然人，法人或其他组织除外。其次，信息的识别性是关键，即通过个人信息单独或其他信息结合识别出个人。综合下来，笔者认为，大数据时代下的个人信息是指具有能够通过快速数据处理技术对大数据中的个人信息进行单独或者结合其他信息进行处理从而能够识别出具体个人的信息。而能够成为法律意义上的个人信息，必须是对于能够具体识别自然人的个人信息进行非法处理会对自然人的人格利益甚至财产利益构成侵害的那一部分信息。自然人的个人信息范围很广，包括其生活的方法面面，如个人基本信息、健康状况、财产状况、性行为状况、家庭状况等。</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200" w:right="0" w:rightChars="0"/>
        <w:jc w:val="both"/>
        <w:textAlignment w:val="auto"/>
        <w:outlineLvl w:val="9"/>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个人信息的类别划分</w:t>
      </w:r>
    </w:p>
    <w:p>
      <w:pPr>
        <w:pStyle w:val="15"/>
        <w:keepNext w:val="0"/>
        <w:keepLines w:val="0"/>
        <w:pageBreakBefore w:val="0"/>
        <w:widowControl w:val="0"/>
        <w:kinsoku/>
        <w:wordWrap/>
        <w:overflowPunct/>
        <w:topLinePunct w:val="0"/>
        <w:autoSpaceDE/>
        <w:autoSpaceDN/>
        <w:bidi w:val="0"/>
        <w:adjustRightInd/>
        <w:snapToGrid/>
        <w:spacing w:line="288" w:lineRule="auto"/>
        <w:ind w:left="42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default" w:ascii="Times New Roman" w:hAnsi="Times New Roman" w:cs="Times New Roman"/>
          <w:lang w:eastAsia="zh-CN"/>
        </w:rPr>
        <w:t>）</w:t>
      </w:r>
      <w:r>
        <w:rPr>
          <w:rFonts w:hint="default" w:ascii="Times New Roman" w:hAnsi="Times New Roman" w:cs="Times New Roman"/>
        </w:rPr>
        <w:t>按公开状况，分为公开的个人信息和未公开的个人信息</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按照个人信息是否对外界公开的情况，可以将个人信息分为公开的个人信息和未公开的个人信息。公开的个人信息是指可以为不特定的第三人通过特定、合法的途径获取、知悉的个人信息，如各类百科中的相关人物百科。个人信息的公开不代表其他人可以随意擅自的使用，同时由个人信息带来的财产收益也不是理所当然的让渡给他人。但个人信息一旦公开，就丧失其享受隐私权法律规范的保护。但即便如此，基于信息的人格属性和财产属性，法律都应当给予其他的私法保护。与此相对的是未公开的个人信息。未公开的个人信息是指未向不特定第三人公开的相对隐秘的个人信息。未公开的个人信息不等同于隐私。隐私是指排除涉及公共利益的一部分的自然人不愿披露的具有私密性的信息或私人活动。而未公开的个人信息只是自然人选择将其个人信息隐匿，而这些信息并非都具有隐私特征，比如个人的相关违法信息。区分信息是否公开的意义在于其未来程序设计可以根据个人信息的不同适用的相对合适的法律制度。</w:t>
      </w:r>
    </w:p>
    <w:p>
      <w:pPr>
        <w:pStyle w:val="15"/>
        <w:keepNext w:val="0"/>
        <w:keepLines w:val="0"/>
        <w:pageBreakBefore w:val="0"/>
        <w:widowControl w:val="0"/>
        <w:kinsoku/>
        <w:wordWrap/>
        <w:overflowPunct/>
        <w:topLinePunct w:val="0"/>
        <w:autoSpaceDE/>
        <w:autoSpaceDN/>
        <w:bidi w:val="0"/>
        <w:adjustRightInd/>
        <w:snapToGrid/>
        <w:spacing w:line="288" w:lineRule="auto"/>
        <w:ind w:right="0" w:rightChars="0" w:firstLineChars="0"/>
        <w:jc w:val="both"/>
        <w:textAlignment w:val="auto"/>
        <w:outlineLvl w:val="9"/>
        <w:rPr>
          <w:rFonts w:hint="default" w:ascii="Times New Roman" w:hAnsi="Times New Roman" w:cs="Times New Roman"/>
        </w:rPr>
      </w:pPr>
      <w:r>
        <w:rPr>
          <w:rFonts w:hint="default" w:ascii="Times New Roman" w:hAnsi="Times New Roman" w:cs="Times New Roman"/>
        </w:rPr>
        <w:t>（2）按敏感情况，分为敏感的个人信息和碎琐的个人信息</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按照个人信息的敏感程度，将个人信息划分为敏感的个人信息和碎琐的个人信息。敏感的个人信息是指与自然人的权利与自由关联较大的，若被非法利用将对自然人造成巨大损害的个人信息，例如犯罪记录。然而敏感一词在严肃理性的法律规范中很难得到肯定，由于每个人对敏感的认知程度不同，对其定义也难得到一个统一的界定。我国国内相关学者认为该词并不符合我国的国情，不建议使用该词。然而在欧盟成员国、美国等地方均对敏感的个人信息有相关规定，这体现了私法对个人特殊信息进行特殊保护的理念。即使各国以及国际的规定对敏感的理解程度和规范不同，其间也有内在规律，大多数敏感的个人信息一般包括犯罪情况、性行为情况、宗教情况、医疗记录等这些方面。我国在构建此类制度时，应当结合考察信息与事件处理的具体缘由。碎琐的个人信息就是除敏感的个人信息之外的由生活琐事形成的个人信息。它可以形成自然人的生活轨迹，通过对碎琐信息进行分析得出自然人的消费偏好、消费趋势等。</w:t>
      </w:r>
    </w:p>
    <w:p>
      <w:pPr>
        <w:pStyle w:val="15"/>
        <w:keepNext w:val="0"/>
        <w:keepLines w:val="0"/>
        <w:pageBreakBefore w:val="0"/>
        <w:widowControl w:val="0"/>
        <w:kinsoku/>
        <w:wordWrap/>
        <w:overflowPunct/>
        <w:topLinePunct w:val="0"/>
        <w:autoSpaceDE/>
        <w:autoSpaceDN/>
        <w:bidi w:val="0"/>
        <w:adjustRightInd/>
        <w:snapToGrid/>
        <w:spacing w:line="288" w:lineRule="auto"/>
        <w:ind w:left="420" w:right="0" w:rightChars="0" w:firstLine="0" w:firstLineChars="0"/>
        <w:jc w:val="both"/>
        <w:textAlignment w:val="auto"/>
        <w:outlineLvl w:val="9"/>
        <w:rPr>
          <w:rFonts w:hint="default" w:ascii="Times New Roman" w:hAnsi="Times New Roman" w:cs="Times New Roman"/>
        </w:rPr>
      </w:pPr>
      <w:r>
        <w:rPr>
          <w:rFonts w:hint="default" w:ascii="Times New Roman" w:hAnsi="Times New Roman" w:cs="Times New Roman"/>
        </w:rPr>
        <w:t>（3）按识别程度，分为直接的个人信息和间接的个人信息</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按照信息的识别程度，将个人信息分为直接的个人信息和间接的个人信息。直接的个人信息是指无需借助其他手段，直接根据信息判断识别出自然人。间接的个人信息是指需要与其他相关个人信息、知识、情势等结合分析才能识别出自然人主体的信息。这种分类的意义无疑是增大了个人信息的保护范围，然而由于大数据时代，个人信息受到侵害的案件频频增多，扩大保护范围也对个人信息保护起到一定的促进作用。</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234" w:firstLineChars="97"/>
        <w:jc w:val="both"/>
        <w:textAlignment w:val="auto"/>
        <w:outlineLvl w:val="9"/>
        <w:rPr>
          <w:rFonts w:hint="default" w:ascii="Times New Roman" w:hAnsi="Times New Roman" w:cs="Times New Roman"/>
          <w:b/>
          <w:sz w:val="24"/>
          <w:szCs w:val="28"/>
        </w:rPr>
      </w:pPr>
      <w:r>
        <w:rPr>
          <w:rFonts w:hint="default" w:ascii="Times New Roman" w:hAnsi="Times New Roman" w:cs="Times New Roman"/>
          <w:b/>
          <w:sz w:val="24"/>
          <w:szCs w:val="28"/>
        </w:rPr>
        <w:t>（三）大数据时代下个人信息面临的挑战</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大数据时代的到来无疑给我们带来了新的惊喜，对于淘宝、京东等电商平台中的“猜你喜欢的商品”这一程序设计让我们切实感受到数字化时代高科技的睿智。然而当我们的移动终端收到各种各样的精准推送或者接到各种电话的骚扰之后，我们感受到了来自大数据时代带来的种种个人信息安全的挑战。目前个人信息安全的最大挑战是对个人信息的非法收集、倒卖等行为。比如不法分子利用网络浏览痕迹或者通过定位或监视软件进行收集个人信息。近年来，个人信息泄露的事件已成家常便饭。2015年研究生考试开考前一个月，130万考生个人信息被不法分子为谋私利而出售给培训机构、补习班等，使考生在考前接到无数骚扰电话，给考生带来严重困扰。除此之外，一些快递企业为谋私利竟在网上高价出售快递单个人信息，网络层出不穷的恶性“人肉搜索”案件等都使人们对个人信息保护感到担忧。大数据时代个人信息面临着许许多多的挑战。</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p>
    <w:p>
      <w:pPr>
        <w:pStyle w:val="15"/>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黑体" w:cs="Times New Roman"/>
          <w:b/>
          <w:sz w:val="28"/>
          <w:szCs w:val="30"/>
        </w:rPr>
      </w:pPr>
      <w:r>
        <w:rPr>
          <w:rFonts w:hint="default" w:ascii="Times New Roman" w:hAnsi="Times New Roman" w:eastAsia="黑体" w:cs="Times New Roman"/>
          <w:b/>
          <w:sz w:val="28"/>
          <w:szCs w:val="30"/>
        </w:rPr>
        <w:t>个人信息权涵义研究</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随着大数据时代的气势汹汹，加之个人信息面临巨大挑战，在制度方面应做好充分的准备工作来迎接挑战。个人信息侵害案件屡屡见报，我国对个人信息保护又缺乏体系完整的法律规范，因此有必要引入个人信息权，使其成为一项具体人格权，为受害人提供相应的法律救济方式。</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234" w:firstLineChars="97"/>
        <w:jc w:val="both"/>
        <w:textAlignment w:val="auto"/>
        <w:outlineLvl w:val="9"/>
        <w:rPr>
          <w:rFonts w:hint="default" w:ascii="Times New Roman" w:hAnsi="Times New Roman" w:cs="Times New Roman"/>
          <w:b/>
          <w:sz w:val="24"/>
          <w:szCs w:val="28"/>
        </w:rPr>
      </w:pPr>
      <w:r>
        <w:rPr>
          <w:rFonts w:hint="default" w:ascii="Times New Roman" w:hAnsi="Times New Roman" w:cs="Times New Roman"/>
          <w:b/>
          <w:sz w:val="24"/>
          <w:szCs w:val="28"/>
        </w:rPr>
        <w:t>（一）个人信息权的涵义</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个人信息权是指自然人对其具有识别性的个人信息享有的自由支配、控制、使用的并排除他人妨害的权利。这一权利体现了个人对私生活的自主决定精神。个人信息权有三个特征：首先，个人信息权的主体仅限于自然人。由于侵害个人信息的行为是对自然人人格的侵害，损害了自然人的自由支配个人信息的权利，而法人组织并无人格尊严等问题，因此不包括法人或其他组织。其次，个人信息权的客体是个人信息，由于时代的特点，个人信息以数据的形式存在，而非一个有体物，因此个人信息可以由自己掌握，也可由他人掌握。基于个人信息所带来的人格利益和财产利益，私法赋予其个人信息权对主体利益进行保护。再次，个人信息权是一种绝对权，却是一种积极的能动的控制权和利用权。自然人主体既可自己使用个人信息，还可以通过授权允许他人使用其个人信息。</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352" w:firstLineChars="146"/>
        <w:jc w:val="both"/>
        <w:textAlignment w:val="auto"/>
        <w:outlineLvl w:val="9"/>
        <w:rPr>
          <w:rFonts w:hint="default" w:ascii="Times New Roman" w:hAnsi="Times New Roman" w:cs="Times New Roman"/>
          <w:b/>
          <w:sz w:val="24"/>
          <w:szCs w:val="28"/>
        </w:rPr>
      </w:pPr>
      <w:r>
        <w:rPr>
          <w:rFonts w:hint="default" w:ascii="Times New Roman" w:hAnsi="Times New Roman" w:cs="Times New Roman"/>
          <w:b/>
          <w:sz w:val="24"/>
          <w:szCs w:val="28"/>
        </w:rPr>
        <w:t>（二）个人信息权的性质</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个人信息权具有保护人格利益和财产利益的双重内涵，笔者认为为个人信息权是一个综合性权利。许多学者认为个人信息的法律保护很大程度上是保护个人的人格利益。该利益保护的最终目的是要归于对人格尊严和人格自由的保护。正如康德所言，人格尊严是一种社会态度，也即是社会以及其他主体对该主体的认同和尊重。社会对个人的态度建立在一定的认知基础上。在时时处处以信息形式记录人们生活轨迹的大数据时代，社会及其他主体可通过了解社会主体的个人信息从而对其进行人格评价。由此可见，个人信息承载着深厚的人格尊严。自然人对其个人信息的应用与否以及是否授权他人应用的表现彰显了私法对人格自由的尊重。在大数据时代，由于我们的信息越来越多的掌握在信息技术人手里，我们的内在决策能力逐渐被操控，此时的个人信息保护更是体现对人格自由的追求。</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个人信息权除了具有人格利益之外，还具有财产利益。事实上个人信息能够为商业目的使用，并且对于该个人信息的利用不会被法律基本理念和社会伦理道德所否认。在当今大数据时代背景下，个人信息不仅具有身份识别的功能，更是成为了一项价值高昂的资源。这也恰好解释了个人信息非法出售倒卖等现象如此猖獗。因此个人信息权除具有人格利益之外，还具有财产利益，是一项综合性的权利。</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234" w:firstLineChars="97"/>
        <w:jc w:val="both"/>
        <w:textAlignment w:val="auto"/>
        <w:outlineLvl w:val="9"/>
        <w:rPr>
          <w:rFonts w:hint="default" w:ascii="Times New Roman" w:hAnsi="Times New Roman" w:cs="Times New Roman"/>
          <w:b/>
          <w:sz w:val="24"/>
          <w:szCs w:val="28"/>
        </w:rPr>
      </w:pPr>
      <w:r>
        <w:rPr>
          <w:rFonts w:hint="default" w:ascii="Times New Roman" w:hAnsi="Times New Roman" w:cs="Times New Roman"/>
          <w:b/>
          <w:sz w:val="24"/>
          <w:szCs w:val="28"/>
        </w:rPr>
        <w:t>（三）个人信息权与隐私权的界分</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学界很多学者包括一些国家立法直接将个人信息权等同于隐私权。然而个人信息权远远超出隐私权的范畴。许多国家并不能很好的区分两者，因此有必要针对个人信息权与隐私权进行研究界分。</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200" w:right="0" w:rightChars="0"/>
        <w:jc w:val="both"/>
        <w:textAlignment w:val="auto"/>
        <w:outlineLvl w:val="9"/>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个人信息权与隐私权的联系</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个人信息权与隐私权难以区分的主要原因在于二者有较多的相似性和重叠性。首先，二者的权利主体均限于自然人。由于法人的信息缺乏人格性，所以法律于此不赋予其人格性权利。隐私权是为了保护自然人私生活的安宁，不涉及任何与法人有关的规定。同样个人信息权也是为了保护信息主体的个人人格尊严和人格利益。在大数据时代，许多个人信息是掌握在一些组织、企业法人手里，但个人信息权的主体仍是自然人。二者权利背后的精神都是为了保护人格尊严和人格自由，保护公民的私生活的安宁。其次，二者的权利客体具有交叉性。不愿公开的个人信息中有一部分属于隐私内容，但并不是所有不公开的内容都可以纳为隐私的范畴。再次，二者的权利侵犯后果存在竞合性，即行为人实施了一个行为即侵犯了隐私权，又侵犯了个人信息权。因此我国法院常采取以隐私权的规范来救济个人信息权受损的事件。</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525" w:firstLineChars="250"/>
        <w:jc w:val="both"/>
        <w:textAlignment w:val="auto"/>
        <w:outlineLvl w:val="9"/>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个人信息权与隐私权的区分</w:t>
      </w:r>
    </w:p>
    <w:p>
      <w:pPr>
        <w:keepNext w:val="0"/>
        <w:keepLines w:val="0"/>
        <w:pageBreakBefore w:val="0"/>
        <w:widowControl w:val="0"/>
        <w:kinsoku/>
        <w:wordWrap/>
        <w:overflowPunct/>
        <w:topLinePunct w:val="0"/>
        <w:autoSpaceDE/>
        <w:autoSpaceDN/>
        <w:bidi w:val="0"/>
        <w:adjustRightInd/>
        <w:snapToGrid/>
        <w:spacing w:line="288" w:lineRule="auto"/>
        <w:ind w:left="420" w:right="0" w:rightChars="0"/>
        <w:jc w:val="both"/>
        <w:textAlignment w:val="auto"/>
        <w:outlineLvl w:val="9"/>
        <w:rPr>
          <w:rFonts w:hint="default" w:ascii="Times New Roman" w:hAnsi="Times New Roman" w:cs="Times New Roman"/>
        </w:rPr>
      </w:pPr>
      <w:r>
        <w:rPr>
          <w:rFonts w:hint="default" w:ascii="Times New Roman" w:hAnsi="Times New Roman" w:cs="Times New Roman"/>
          <w:lang w:eastAsia="zh-CN"/>
        </w:rPr>
        <w:t>（</w:t>
      </w:r>
      <w:r>
        <w:rPr>
          <w:rFonts w:hint="default" w:ascii="Times New Roman" w:hAnsi="Times New Roman" w:cs="Times New Roman"/>
          <w:lang w:val="en-US" w:eastAsia="zh-CN"/>
        </w:rPr>
        <w:t>1</w:t>
      </w:r>
      <w:r>
        <w:rPr>
          <w:rFonts w:hint="default" w:ascii="Times New Roman" w:hAnsi="Times New Roman" w:cs="Times New Roman"/>
          <w:lang w:eastAsia="zh-CN"/>
        </w:rPr>
        <w:t>）</w:t>
      </w:r>
      <w:r>
        <w:rPr>
          <w:rFonts w:hint="default" w:ascii="Times New Roman" w:hAnsi="Times New Roman" w:cs="Times New Roman"/>
        </w:rPr>
        <w:t>权利属性不同</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隐私权属于一种典型的“精神性人格权”，其内涵主要是人格利益；而个人信息权在性质上一种兼具人格利益和财产利益内涵的综合性权利。隐私权属于一次性用完的权利，隐私一旦被披露，权利主体不再对披露的个人隐私部分享有隐私权；而个人信息权不是一次穷尽型的，个人信息可以多次重复使用。隐私权属于一种消极的、排他性的权利。权利人无法主动的适用隐私权，只有等到隐私权受到侵害时，权利主体才会提起救济。而个人信息权虽是消极的支配权，但由于资讯自决权赋予的能动的控制和利用的权利。在未经权利人许可的情况下非法收集、使用他人的个人信息，他人可以通过要求对方更改或删除其个人信息。</w:t>
      </w:r>
    </w:p>
    <w:p>
      <w:pPr>
        <w:keepNext w:val="0"/>
        <w:keepLines w:val="0"/>
        <w:pageBreakBefore w:val="0"/>
        <w:widowControl w:val="0"/>
        <w:kinsoku/>
        <w:wordWrap/>
        <w:overflowPunct/>
        <w:topLinePunct w:val="0"/>
        <w:autoSpaceDE/>
        <w:autoSpaceDN/>
        <w:bidi w:val="0"/>
        <w:adjustRightInd/>
        <w:snapToGrid/>
        <w:spacing w:line="288" w:lineRule="auto"/>
        <w:ind w:left="420" w:right="0" w:rightChars="0"/>
        <w:jc w:val="both"/>
        <w:textAlignment w:val="auto"/>
        <w:outlineLvl w:val="9"/>
        <w:rPr>
          <w:rFonts w:hint="default" w:ascii="Times New Roman" w:hAnsi="Times New Roman" w:cs="Times New Roman"/>
        </w:rPr>
      </w:pPr>
      <w:r>
        <w:rPr>
          <w:rFonts w:hint="default" w:ascii="Times New Roman" w:hAnsi="Times New Roman" w:cs="Times New Roman"/>
        </w:rPr>
        <w:t>（2）权利客体不同</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隐私权的权利客体是隐私，隐私是自然人不愿公开披露的具有私密性的信息或私人活动，除了设计公共利益部分的内容。隐私一旦被披露，受害者是无法请求“恢复原状”的救济方式的。隐私大多以信息、个人活动、私生活等形态呈现，而个人信息是直接指向自然人的主体身份，个人信息许多并不具有私密性。凡是必须在一定范围内为社会特定人或不特定人所知悉的个人信息，都难以纳入隐私的范畴。个人信息可以反复使用，其损害具有可恢复性。个人信息须以固定化的信息方式表达记载，它侧重于识别，即通过信息识别出个人。除了一些特殊公职人员，个人隐私一般与国家安全没有关联性，具有个体性。而个人信息常常以集合的形式表现，形成所谓的大数据，某些数据将涉及敏感信息，国家安全将面临巨大的风险。</w:t>
      </w:r>
    </w:p>
    <w:p>
      <w:pPr>
        <w:keepNext w:val="0"/>
        <w:keepLines w:val="0"/>
        <w:pageBreakBefore w:val="0"/>
        <w:widowControl w:val="0"/>
        <w:kinsoku/>
        <w:wordWrap/>
        <w:overflowPunct/>
        <w:topLinePunct w:val="0"/>
        <w:autoSpaceDE/>
        <w:autoSpaceDN/>
        <w:bidi w:val="0"/>
        <w:adjustRightInd/>
        <w:snapToGrid/>
        <w:spacing w:line="288" w:lineRule="auto"/>
        <w:ind w:left="420" w:right="0" w:rightChars="0"/>
        <w:jc w:val="both"/>
        <w:textAlignment w:val="auto"/>
        <w:outlineLvl w:val="9"/>
        <w:rPr>
          <w:rFonts w:hint="default" w:ascii="Times New Roman" w:hAnsi="Times New Roman" w:cs="Times New Roman"/>
        </w:rPr>
      </w:pPr>
      <w:r>
        <w:rPr>
          <w:rFonts w:hint="default" w:ascii="Times New Roman" w:hAnsi="Times New Roman" w:cs="Times New Roman"/>
        </w:rPr>
        <w:t>（3）权利内容不同</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隐私权的权利内容主要在于维护个人生活安宁，个人秘密不被公开，以及个人私生活自主决定，侧重于个人秘密的不被披露。而个人信息权的权利内容主要是侧重于权利人对个人信息的支配和自主决定。侧重于保护个人信息的控制与使用的权利。隐私的内容虽与个人信息有交叉，但其保护的方向是不同的。隐私权并不要求对个人秘密进行主动的支配和使用，它只是单纯的请求不被披露。而个人信息权则侧重对个人信息的信息自决，其内容应包括信息决定权、保密权、查询权、更正权、删除权、封锁权等。</w:t>
      </w:r>
    </w:p>
    <w:p>
      <w:pPr>
        <w:keepNext w:val="0"/>
        <w:keepLines w:val="0"/>
        <w:pageBreakBefore w:val="0"/>
        <w:widowControl w:val="0"/>
        <w:kinsoku/>
        <w:wordWrap/>
        <w:overflowPunct/>
        <w:topLinePunct w:val="0"/>
        <w:autoSpaceDE/>
        <w:autoSpaceDN/>
        <w:bidi w:val="0"/>
        <w:adjustRightInd/>
        <w:snapToGrid/>
        <w:spacing w:line="288" w:lineRule="auto"/>
        <w:ind w:left="420" w:right="0" w:rightChars="0"/>
        <w:jc w:val="both"/>
        <w:textAlignment w:val="auto"/>
        <w:outlineLvl w:val="9"/>
        <w:rPr>
          <w:rFonts w:hint="default" w:ascii="Times New Roman" w:hAnsi="Times New Roman" w:cs="Times New Roman"/>
        </w:rPr>
      </w:pPr>
      <w:r>
        <w:rPr>
          <w:rFonts w:hint="default" w:ascii="Times New Roman" w:hAnsi="Times New Roman" w:cs="Times New Roman"/>
        </w:rPr>
        <w:t>（4）救济方式不同</w:t>
      </w:r>
    </w:p>
    <w:p>
      <w:pPr>
        <w:keepNext w:val="0"/>
        <w:keepLines w:val="0"/>
        <w:pageBreakBefore w:val="0"/>
        <w:widowControl w:val="0"/>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隐私权采取的是事后救济模式，一般采用民事精神损害赔偿的方式进行救济。个人信息权不仅涉及信息主体的个人权益，甚至可能涉及公共利益，因此个人信息权应采取事前预防模式，实现信息主体与信息控制者之间的平衡。而由于个人信息兼具人格利益和财产利益，因此当人格信息权受到损害时，基于受损的经济利益，信息主体可向法院提起民事损害赔偿与精神损害赔偿两种请求。</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textAlignment w:val="auto"/>
        <w:outlineLvl w:val="9"/>
        <w:rPr>
          <w:rFonts w:hint="default" w:ascii="Times New Roman" w:hAnsi="Times New Roman" w:cs="Times New Roman"/>
        </w:rPr>
      </w:pPr>
    </w:p>
    <w:p>
      <w:pPr>
        <w:pStyle w:val="15"/>
        <w:keepNext w:val="0"/>
        <w:keepLines w:val="0"/>
        <w:pageBreakBefore w:val="0"/>
        <w:widowControl w:val="0"/>
        <w:kinsoku/>
        <w:wordWrap/>
        <w:overflowPunct/>
        <w:topLinePunct w:val="0"/>
        <w:autoSpaceDE/>
        <w:autoSpaceDN/>
        <w:bidi w:val="0"/>
        <w:adjustRightInd/>
        <w:snapToGrid/>
        <w:spacing w:line="240" w:lineRule="auto"/>
        <w:ind w:left="420" w:leftChars="200" w:right="0" w:rightChars="0" w:firstLine="0" w:firstLineChars="0"/>
        <w:jc w:val="center"/>
        <w:textAlignment w:val="auto"/>
        <w:outlineLvl w:val="9"/>
        <w:rPr>
          <w:rFonts w:hint="default" w:ascii="Times New Roman" w:hAnsi="Times New Roman" w:cs="Times New Roman"/>
          <w:b/>
          <w:sz w:val="24"/>
          <w:szCs w:val="28"/>
        </w:rPr>
      </w:pPr>
      <w:r>
        <w:rPr>
          <w:rFonts w:hint="eastAsia" w:ascii="黑体" w:hAnsi="黑体" w:eastAsia="黑体"/>
          <w:b/>
          <w:sz w:val="28"/>
          <w:szCs w:val="30"/>
        </w:rPr>
        <w:t>三、个人信息权的立法保护比较法考察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234" w:firstLineChars="97"/>
        <w:jc w:val="both"/>
        <w:textAlignment w:val="auto"/>
        <w:outlineLvl w:val="9"/>
        <w:rPr>
          <w:rFonts w:hint="default" w:ascii="Times New Roman" w:hAnsi="Times New Roman" w:cs="Times New Roman"/>
          <w:b/>
          <w:sz w:val="24"/>
          <w:szCs w:val="28"/>
        </w:rPr>
      </w:pPr>
      <w:r>
        <w:rPr>
          <w:rFonts w:hint="default" w:ascii="Times New Roman" w:hAnsi="Times New Roman" w:cs="Times New Roman"/>
          <w:b/>
          <w:sz w:val="24"/>
          <w:szCs w:val="28"/>
        </w:rPr>
        <w:t>（一）域外个人信息法律保护</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目前，世界各国对个人信息保护存在两种模式：统一立法模式和分散式立法模式。统一的立法模式是指单独制定一套体系完备的个人信息保护法，将与个人信息保护的内容全部纳入该法中。采取此类模式典型的是欧盟以及德日等国家。分散的立法模式是指通过不同的法律来保护个人信息，美国是此种模式的典型。</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欧盟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欧盟对个人信息的保护早在20世纪70年代就已开始，其采取的是一种统一立法模式，即对个人信息进行全面系统的立法保护。1995年，欧盟通过了《关于在个人数据处理过程中保护当事人及此类数据自由流通的指令》。1997年通过《有关电信行业中的个人数据处理和隐私保护的指令》。</w:t>
      </w:r>
      <w:r>
        <w:rPr>
          <w:rStyle w:val="12"/>
          <w:rFonts w:hint="default" w:ascii="Times New Roman" w:hAnsi="Times New Roman" w:cs="Times New Roman"/>
        </w:rPr>
        <w:t>[</w:t>
      </w:r>
      <w:r>
        <w:rPr>
          <w:rStyle w:val="12"/>
          <w:rFonts w:hint="default" w:ascii="Times New Roman" w:hAnsi="Times New Roman" w:cs="Times New Roman"/>
        </w:rPr>
        <w:footnoteReference w:id="43"/>
      </w:r>
      <w:r>
        <w:rPr>
          <w:rStyle w:val="12"/>
          <w:rFonts w:hint="default" w:ascii="Times New Roman" w:hAnsi="Times New Roman" w:cs="Times New Roman"/>
        </w:rPr>
        <w:t>]</w:t>
      </w:r>
      <w:r>
        <w:rPr>
          <w:rFonts w:hint="default" w:ascii="Times New Roman" w:hAnsi="Times New Roman" w:cs="Times New Roman"/>
        </w:rPr>
        <w:t>这两个欧盟指令涵盖了网络环境下个人数据的收集、处理、利用、传递等各个环节，为个人信息的保护提供了全过程的保障。根据以上两个指令可得知，欧盟赋予了个人信息充分的权利保护和救济制度。信息主体对其个人信息享有访问权、拒绝权、自主决策权和寻求救济的权利。在欧洲，信息保护被看成是一种基本人权予以保护，其重视程度也影响了欧盟成员国的立法活动。目前欧盟20多个国家已经有统一的个人信息保护法，其中最为典型的是德国。德国联邦在1976年就通过了《联邦数据保护法》，该法第一次系统、集中的保护了个人信息，并对个人信息权利属性进行了界定。</w:t>
      </w:r>
      <w:r>
        <w:rPr>
          <w:rStyle w:val="12"/>
          <w:rFonts w:hint="default" w:ascii="Times New Roman" w:hAnsi="Times New Roman" w:cs="Times New Roman"/>
        </w:rPr>
        <w:t>[</w:t>
      </w:r>
      <w:r>
        <w:rPr>
          <w:rStyle w:val="12"/>
          <w:rFonts w:hint="default" w:ascii="Times New Roman" w:hAnsi="Times New Roman" w:cs="Times New Roman"/>
        </w:rPr>
        <w:footnoteReference w:id="44"/>
      </w:r>
      <w:r>
        <w:rPr>
          <w:rStyle w:val="12"/>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欧盟制定的相关个人信息法律保护制度并未将个人信息与隐私进行明确的区分。2014年3月12日欧盟正式通过的《一般数据保护规定》中对个人信息抑或个人数据定义为“与一个身份已被识别或者身份可被识别的自然人相关的任何信息。”而对于隐私权的界定，根据《欧洲人权公约》的笼统规定：每个人有使自己的私人生活、家庭生活得到尊重的权利。个人信息的概念界定比隐私权的更加精确。不可避免的两者在内容上会有一定的交叉重叠，寻求法律救济时可能同时适用违反个人信息保护和侵犯隐私权的事由，但在欧洲的司法实践中，法院是以个人信息保护制度为主要审判依据，而隐私侵权情节仅仅作为辅助审判的依据而已。</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美国</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美国的法律传统是限制公权力对市场进行过多的干预，因此对于个人信息保护并未建立统一的个人信息保护法，而是采取了分散的立法模式，仅就公共领域中关于收集处理个人信息的内容予以规制。其他主体的个人信息保护主要采安全港模式，即依靠市场调节和行业自律来完成。所谓安全港模式，实际上是一种将国家的立法模式与私人行业的自律规范相结合的一种综合的立法模式。具体而言，就是将行业自律保护个人信息的规范纳入法律的范畴之内，要求私人行业的组织机构只要遵循经由国家主管机关审查通过的行业自律规范，就等同于遵守本国的相关法律制度的一种确认行业规范效力的立法模式。（引用杨咏捷）由于美国是典型的判例法国家，其个人信息法律保护制度时通过隐私权判例的扩张以及一些部门单行成文法的制定进行的。例如1974年颁布的《隐私法》是专门针对政府部门收集公民个人信息时应遵循的规则。除此之外，还有《金融隐私法》、《家庭教育法和隐私法》、《录像带隐私保护法》等特殊成文法来分别对生活的方方面面进行规制。与欧盟不同，美国的个人信息是依附于隐私权的范畴内的。美国的隐私权概念包容性很强，其内容体现了大陆法系的肖像权、姓名权、名誉权等具体人格权，因此将个人信息纳入隐私权范围内也是逻辑必然。对于已公开的个人信息是否能纳入隐私领域，在美国学界有很大争议。《美国宪法第四修正案》的“隐私权合理期待”制度也仅适用特殊的个人信息，即根据社会合理的客观的期待该个人信息为隐私权，即使该个人信息已经公开，法律仍给予其隐私权的一般法律保护。然而对于大多数已经公开的个人信息，当信息主体在向第三人公开的同时也应承担第三人与其他不特定主体分享信息的风险，因此侵犯已经公开的个人信息并不能很好的寻求法律救济。在美国隐私权语境下，个人信息虽与隐私有着许多异处，但对于需要保护的个人信息，法院会将其纳入隐私权范畴，再对隐私权的概念进行阐述，通过隐私权的进路来完成对个人信息的保护，其力度也不逊色于欧盟体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通过对以上两个典型主体的个人信息法律保护的考察，发现其保护路径虽然相同，但其内在逻辑是我们需要借鉴学习的。无疑，其法律制度都是从国情或实际国际形势出发，制定出符合国家内在需求的法律。如美国将个人信息纳入隐私权范围之内，并未将个人信息上升到法律层面，源于美国信息科技对经济发展有着巨大的促进作用。而欧盟地区之所以将个人信息纳入基本人权的保护范围，而又以基本人权为出发点制定专门法律，其根源是由于二战期间欧盟成员国保守纳粹独裁和监控，因此对个人信息和隐私十分重视，将个人隐私上升到宪法和人权文献的高度。因此，我国在建立个人信息保护制度时，应从我国基本国情出发，结合社会现状，提出合理的制度设计。</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234" w:firstLineChars="97"/>
        <w:jc w:val="both"/>
        <w:textAlignment w:val="auto"/>
        <w:outlineLvl w:val="9"/>
        <w:rPr>
          <w:rFonts w:hint="default" w:ascii="Times New Roman" w:hAnsi="Times New Roman" w:cs="Times New Roman"/>
          <w:b/>
          <w:sz w:val="24"/>
          <w:szCs w:val="28"/>
        </w:rPr>
      </w:pPr>
      <w:r>
        <w:rPr>
          <w:rFonts w:hint="default" w:ascii="Times New Roman" w:hAnsi="Times New Roman" w:cs="Times New Roman"/>
          <w:b/>
          <w:sz w:val="24"/>
          <w:szCs w:val="28"/>
        </w:rPr>
        <w:t>（二）我国个人信息权法律保护现状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目前我国对于个人信息权的法律保护存在着一系列缺陷和不足，对此必须厘清问题的根源，基于问题对症下药，以适应大数据时代背景下人们对个人信息法律保护的急切需求，制定出较为有效和完善的个人信息保护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首先，我国公民对于个人信息保护的法律意识薄弱。科技的快速发展，大数据时代的到来，都使得人们猝不及防，不能快速的发展自己的传统观念。人们对大数据的认知度偏低，大多数人并不了解何为大数据，同时也未建立起强烈的个人信息保护意识。人们只有当自己的个人信息受到侵害时才意识到个人信息保护的必要性。根据工信部网络安全管理局发布的《2015中国网民权益保护调查报告》可知78.2%的网民个人身份信息、63.4%的网民个人网上活动信息被泄露过。然而，在当代处于社会转型期的中国而言，法治建设是至关重要的一个环节，增强民众的法律意识也尤为重要。</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其次，我国在个人信息的立法保护存在较大缺失。早在2003年，由齐爱民教授和周汉华教授分别负责起草《个人信息保护法草案》，并于2008年呈报全国人大法工委，然而至今尚未提交全国人大常委会提审。由于缺乏专项立法，我国目前的个人信息法律保护大多还是通过保护人格尊严、个人隐私的方式给其提供间接保护。由于个人信息权所保护的人格利益和财产利益，应将其纳为民法的规范范畴。而传统的司法实践显示对个人信息的保护仍归入了隐私权、肖像权、名誉权等传统民事权益的范畴，相关规范零散分布在《民法通则》、《侵权责任法》等法律规范中。目前我国对于个人信息的直接保护也只是处于起步阶段，其中最具代表性的是2012年出台的《关于加强网络个人信息保护的决定》以及2014年颁布的《关于审理利用信息网络侵害人身权益的民事纠纷案件适用法律的若干问题的规定》。2012年出台的这一决定使个人信息保护逐渐转向法律规范的形式，但在该决定中并未将个人信息权上升到人格权的高度，导致个人信息权的人格请求权的法律基础缺失。2014年的这一规定明确了个人信息保护的范围，加大了对个人信息主体的保护力度，为个人信息纠纷提供了直接的法律指导。除此之外，中国网络行业协会曾相继制定的《中国互联网行业自律公约》、《互联网信息服务管理办法》、《互联网电子邮件服务管理办法》、《垃圾邮件防范处理指南》等相关行业规范，但以上相关行业规范并未明确规范标准和责任处罚机制，对非法倒卖个人信息等行为规范也不严格。</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再次，个人信息侵权案件追责问题是一大难题。由于大数据、物联网等科技的发展，人们的个人信息往往很容易被网络平台所获知、收集。一些电商平台之间对消费者的个人信息进行交流、互享，基于对消费者信息的整合分析，确保其精准的投放，这样一来即减少企业的推销成本等，也形成了一股不正之气，即在网络上大肆的甚至公开的出售个人信息，使民众个人十分被动。然而正是由于互联网平台之间信息的相互分享交流，且个人信息的泄露通过互联网途径进行，其泄露主体很难找到，诉讼主体难以确定，对案件的侵权人追责存在较大的技术障碍。</w:t>
      </w:r>
    </w:p>
    <w:p>
      <w:pPr>
        <w:pStyle w:val="1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黑体" w:cs="Times New Roman"/>
          <w:b/>
          <w:sz w:val="21"/>
          <w:szCs w:val="21"/>
        </w:rPr>
      </w:pPr>
    </w:p>
    <w:p>
      <w:pPr>
        <w:pStyle w:val="15"/>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cs="Times New Roman" w:eastAsiaTheme="majorEastAsia"/>
          <w:b/>
          <w:sz w:val="21"/>
          <w:szCs w:val="21"/>
        </w:rPr>
      </w:pPr>
      <w:r>
        <w:rPr>
          <w:rFonts w:hint="default" w:ascii="Times New Roman" w:hAnsi="Times New Roman" w:eastAsia="黑体" w:cs="Times New Roman"/>
          <w:b/>
          <w:sz w:val="28"/>
          <w:szCs w:val="30"/>
        </w:rPr>
        <w:t>四、大数据时代下我国个人信息权的法律保护制度构想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both"/>
        <w:textAlignment w:val="auto"/>
        <w:outlineLvl w:val="9"/>
        <w:rPr>
          <w:rFonts w:hint="default" w:ascii="Times New Roman" w:hAnsi="Times New Roman" w:cs="Times New Roman" w:eastAsiaTheme="majorEastAsia"/>
          <w:b/>
          <w:sz w:val="24"/>
        </w:rPr>
      </w:pPr>
      <w:r>
        <w:rPr>
          <w:rFonts w:hint="default" w:ascii="Times New Roman" w:hAnsi="Times New Roman" w:cs="Times New Roman" w:eastAsiaTheme="majorEastAsia"/>
          <w:b/>
          <w:sz w:val="24"/>
        </w:rPr>
        <w:t>（一）制度构建模式的选择</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根据上文对两种立法模式的实证考察，我们可以得出，统一立法模式实际上通过使用国家强制力来保证个人信息权的实现，国家统一立法可以使公权机关与非公权机关的个人信息处理上实现内在一致性，同时也提供了一个统一的标准，有助于司法的顺利运行。个人信息主体通过立法可以获得充分的权利和救济，这大大提高了保护私人利益的力度。然而，个人对个人信息进行统一立法都是以人格尊严和人格自由为逻辑起点和价值归宿，将个人信息权上升为法律权利势必会影响信息流通的自由性，这与大数据时代本身的信息化相矛盾，因此在立法时如何平衡好人格尊严和信息发展之间的冲突是个难题。同时立法、执法、司法的巨大运行成本也是一个缺陷。</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根据对美国对个人信息保护相关法律的考察，分散式立法模式具有极强的灵活性，可以有效的避免权力的过度膨胀，但由于多个法律条文对个人信息进行规范，势必会发生重复和冲突。适用的法律标准不同将导致司法领域运行不协调等情况发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考虑上文中讨论的我国关于个人信息保护的现状，结合我国的法律环境，笔者认为我国应当采取统一的立法模式，制定个人信息保护法，并将其作为保护个人信息权的基本法。由于我国公民对个人信息法律保护意识薄弱，国家应制定统一的法律来保护公民的个人信息权。当然，采取统一的立法模式，并不是照搬德国、日本等立法模式。我们在采取统一立法模式的同时，可以适当的借鉴与行业自律相关的安全港模式，在制定《个人信息保护法》的同时，在该法中明确行业自律规范的效力，建立相对较为合理的行业自律的机制。但注意要适当借鉴安全港模式，不可让其喧宾夺主。由于中国市场经济的迅速发展与法治建设缓慢的不平衡，在转型中国行业自律并无形成成熟的系统，期待其形成运行良好的行业自律体制是不现实的。但即使如此，我们仍应以立法的形式积极引导、主动推进行业组织进行行业自律，促进民间自律观念的矫正。</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both"/>
        <w:textAlignment w:val="auto"/>
        <w:outlineLvl w:val="9"/>
        <w:rPr>
          <w:rFonts w:hint="default" w:ascii="Times New Roman" w:hAnsi="Times New Roman" w:cs="Times New Roman"/>
          <w:b/>
          <w:sz w:val="24"/>
        </w:rPr>
      </w:pPr>
      <w:r>
        <w:rPr>
          <w:rFonts w:hint="default" w:ascii="Times New Roman" w:hAnsi="Times New Roman" w:cs="Times New Roman"/>
          <w:b/>
          <w:sz w:val="24"/>
        </w:rPr>
        <w:t>（二）具体制度内容设计</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eastAsia="zh-CN"/>
        </w:rPr>
        <w:t>.</w:t>
      </w:r>
      <w:r>
        <w:rPr>
          <w:rFonts w:hint="default" w:ascii="Times New Roman" w:hAnsi="Times New Roman" w:cs="Times New Roman"/>
        </w:rPr>
        <w:t>个人信息权法律保护的基本原则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法律基本原则的价值在于传达某种立法思想与价值理念，为一般性规则的解释提供指引，并在一定程度上用以弥补相关立法的缺失和漏洞。个人信息保护基本原则是在个人信息收集、处理和使用过程中，必须遵循的基本理念。1980年由世界经合组织通过的《个人信息保护及跨境流动指南》中明确规定了个人信息保护的“OECD基本原则”，主要指收集限制原则、信息质量原则、目的明确原则、使用限制原则、安全保障原则。然而在大数据时代背景下对个人信息保护的原则的设计必须加入对大数据特征的考量。由于大数据时代的灵活性、复杂性和技术性，许多立法者并不能根据它制定出十分精密的法律规范，同时，处于大数据刚刚起步的阶段，法律事无巨细的对个人信息进行保护势必会阻碍其自身发展。因此结合现状，提出指导性的基本原则对于个人信息保护立法有较好的指导作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（1）收集限制原则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个人信息面临最大的挑战就是不当收集。大数据时代，在“利用移动设备终端的定位、监控等功能对个人信息不当收集”、“商品或服务提供过程中对消费者信息进行不当收集”以及“通过个人网络痕迹对个人信息进行不当收集”是最典型的表现形式。收集限制原则意为任何的对个人信息的收集都只能采用合法、合理的途径进行，在适当情况下，信息收集还需获得个人信息主体的授权。该项原则体现了信息自决性，意味着在个人信息收集问题上，个人信息主体有自由意志决定是否被收集，且该原则适用于个人信息收集、处理和使用的全过程。</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15" w:firstLineChars="150"/>
        <w:jc w:val="both"/>
        <w:textAlignment w:val="auto"/>
        <w:outlineLvl w:val="9"/>
        <w:rPr>
          <w:rFonts w:hint="default" w:ascii="Times New Roman" w:hAnsi="Times New Roman" w:cs="Times New Roman"/>
        </w:rPr>
      </w:pPr>
      <w:r>
        <w:rPr>
          <w:rFonts w:hint="default" w:ascii="Times New Roman" w:hAnsi="Times New Roman" w:cs="Times New Roman"/>
        </w:rPr>
        <w:t>（2）安全保障原则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个人信息并非都掌握在信息主体手上，许多政府机构、企业、组织等也掌握着自然人的个人信息。个人信息的掌控者有义务采取合理措施保障个人信息的安全，以防止丢失、毁损和修改。大数据时代背景下，海量的个人信息一般采用网络方式进行存储，巨大的信息体量及其蕴藏的巨大商业价值使其很容易成为被攻击的目标进而面临巨大风险。此外大数据时代的到来使个人信息泄露概率和规模均大幅度提升，影响力也空前增强，因此，有必要强调和突出安全保障原则。笔者认为在大数据时代，应当突出考量并在基本法层面明确个人信息保护的“安全保障原则”，继而构建起个人信息收集、管理和使用主体的义务，以便为其他法律部门构建和完善个人信息安全监督及追责机制提供法律支撑。</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15" w:firstLineChars="150"/>
        <w:jc w:val="both"/>
        <w:textAlignment w:val="auto"/>
        <w:outlineLvl w:val="9"/>
        <w:rPr>
          <w:rFonts w:hint="default" w:ascii="Times New Roman" w:hAnsi="Times New Roman" w:cs="Times New Roman"/>
        </w:rPr>
      </w:pPr>
      <w:r>
        <w:rPr>
          <w:rFonts w:hint="default" w:ascii="Times New Roman" w:hAnsi="Times New Roman" w:cs="Times New Roman"/>
        </w:rPr>
        <w:t>（3）限制使用原则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限制使用原则是指未经个人信息主体的同意，不得披露或非法使用个人信息。大数据时代，大数据应用从“市场化”向“产业化”的方向过渡，个人信息被赋予了财产价值而逐渐受到各个行业领域的认可。在利益驱使下非法使用个人信息的事件日益增多。近年来，“个人信息非法交易事件”、“精准诈骗和推销事件”等现象与日俱增，这不仅对个人信息主体造成严重的侵权和困扰之外，也一定程度上扰乱了经济市场的正常秩序。造成这一现象的主要原因是相关制度的缺失。在市场准入层面，以个人信息开展经营活动的市场准入限制是空白；在市场经营层面，尚未明确个人信息使用的基本法规及监管主体；在市场救济层面，个人信息违法使用的追责机制存在空白。明确限制使用规则可以给市场监管和追责提供法律基础。</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个人信息权法律保护的内容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大数据时代的个人信息法律保护的核心内容是对个人信息权内容的构建。在大数据时代，通过立法明确个人信息主体的权利内容，加强了对个人信息主体所享的具体权益的保护力度，也有助明确个人信息采集、处理和使用的主体的义务以及个人信息保护监管机制的落实。结合在大数据时代个人信息所面临的挑战，笔者拟从以下三个方面对个人信息主体的权利内容进行构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15" w:firstLineChars="150"/>
        <w:jc w:val="both"/>
        <w:textAlignment w:val="auto"/>
        <w:outlineLvl w:val="9"/>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1</w:t>
      </w:r>
      <w:r>
        <w:rPr>
          <w:rFonts w:hint="default" w:ascii="Times New Roman" w:hAnsi="Times New Roman" w:cs="Times New Roman"/>
        </w:rPr>
        <w:t>）个人信息控制权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个人信息控制权即个人信息主体对其个人信息所享有的一种支配和控制的权利。在大数据时代，该项权利的构建旨在缓解个人信息主体权益保护与个人信息自由流动冲突。该项权利包括个人信息主体排除他人非法收集、传播等权能。也即是除法律允许的例外情形或个人的明确同意之外，任何组织机构或个人均不可以任何途径收集、处理、使用、分享个人信息。由于物联网、云计算等高科技的运用，个人信息采集、复制、挖掘、处理等行为成本大大降低。与此同时，个人信息的商业价值日益凸显，个人信息采集、挖掘、存储并投入市场化运作的行为越来越多。为了规范市场行为，避免相关市场主体以损害个人信息主体的权益为代价追求高额的经济利益，有必要明确个人信息主体对其信息的控制权。大数据时代的技术发展迅速性与个人信息被侵害的严重性，使个人信息从外部控制或规定为侵权行为的需求更为紧迫。</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15" w:firstLineChars="150"/>
        <w:jc w:val="both"/>
        <w:textAlignment w:val="auto"/>
        <w:outlineLvl w:val="9"/>
        <w:rPr>
          <w:rFonts w:hint="default" w:ascii="Times New Roman" w:hAnsi="Times New Roman" w:cs="Times New Roman"/>
        </w:rPr>
      </w:pPr>
      <w:r>
        <w:rPr>
          <w:rFonts w:hint="default" w:ascii="Times New Roman" w:hAnsi="Times New Roman" w:cs="Times New Roman"/>
        </w:rPr>
        <w:t>（2）个人信息删除权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个人信息删除权，是指合法存储和使用个人信息的主体在其与个人信息主体法律关系终止或消灭时，或者个人信息被非法获取时，个人信息主体有权要求信息持有者删除个人信息。其内在法律逻辑有两点：其一，个人信息管理者对个人信息的管理使用的预先目的丧失合法性。其二，超越授权范围的管理、使用个人信息的行为触碰法律底线。此外，个人信息管理者对个人信息的删除必须是不可恢复性的删除。为了实现个人信息保护和信息合理使用的平衡，在具体内容设计上应对删除权的具体情形加以规定。</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315" w:firstLineChars="150"/>
        <w:jc w:val="both"/>
        <w:textAlignment w:val="auto"/>
        <w:outlineLvl w:val="9"/>
        <w:rPr>
          <w:rFonts w:hint="default" w:ascii="Times New Roman" w:hAnsi="Times New Roman" w:cs="Times New Roman"/>
        </w:rPr>
      </w:pPr>
      <w:r>
        <w:rPr>
          <w:rFonts w:hint="default" w:ascii="Times New Roman" w:hAnsi="Times New Roman" w:cs="Times New Roman"/>
        </w:rPr>
        <w:t>（3）个人信息知情权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个人信息知情权是指个人信息主体有权通过查询或其他合法方式了解其个人信息收集、处理、使用的情况。该项权利是个人信息权其他内容得以实现的前提基础。在大数据时代，伴随着个人信息商业化应用的加速，知情权的范围变得日益宽泛。在具体制度设计时，在对个人信息进行采集过程中，个人信息主体对于个人信息采集者对其个人信息采集的应当充分知情。需要强调的是个人信息主体对其个人信息的知情权不仅适用于从其个人渠道获得的个人信息，而且也适用于保护从其他任何渠道获得的个人信息主体的个人信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22" w:firstLineChars="200"/>
        <w:jc w:val="center"/>
        <w:textAlignment w:val="auto"/>
        <w:outlineLvl w:val="9"/>
        <w:rPr>
          <w:rFonts w:hint="default" w:ascii="Times New Roman" w:hAnsi="Times New Roman" w:eastAsia="黑体" w:cs="Times New Roman"/>
          <w:b/>
          <w:sz w:val="21"/>
          <w:szCs w:val="21"/>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黑体" w:cs="Times New Roman"/>
          <w:b/>
          <w:sz w:val="21"/>
          <w:szCs w:val="21"/>
        </w:rPr>
      </w:pPr>
      <w:r>
        <w:rPr>
          <w:rFonts w:hint="eastAsia" w:eastAsia="黑体" w:cs="Times New Roman"/>
          <w:b/>
          <w:sz w:val="28"/>
          <w:lang w:val="en-US" w:eastAsia="zh-CN"/>
        </w:rPr>
        <w:t>五、</w:t>
      </w:r>
      <w:r>
        <w:rPr>
          <w:rFonts w:hint="default" w:ascii="Times New Roman" w:hAnsi="Times New Roman" w:eastAsia="黑体" w:cs="Times New Roman"/>
          <w:b/>
          <w:sz w:val="28"/>
        </w:rPr>
        <w:t>结语</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default" w:ascii="Times New Roman" w:hAnsi="Times New Roman" w:cs="Times New Roman"/>
        </w:rPr>
      </w:pPr>
      <w:r>
        <w:rPr>
          <w:rFonts w:hint="default" w:ascii="Times New Roman" w:hAnsi="Times New Roman" w:cs="Times New Roman"/>
        </w:rPr>
        <w:t>对个人的保护是一切法律设计的基础。在以信息为社会经济资源的信息时代已经给人类的生产生活带来巨大变革。在大数据时代，个人信息呈现爆炸式的增长，同样伴随着物联网、云计算、大数据挖掘等信息科技的出现，个人信息不再仅仅作为一种身份识别符号，还作为一种可提取价值的巨量资源而被各行业竞相追逐，个人信息面临着巨大的挑战。社会对信息的依赖性逐渐增强，国家出于行政目的对个人信息进行大规模自动化收集，商业机构为追逐经济利益而抢占信息市场的高地，而作为社会的个人不知不觉被卷入这场没有硝烟的信息争夺战中。具有人格利益又有财产利益的个人信息受到侵害的事件频见报头，个人信息保护的需求迫切。笔者本着解决社会问题的态度，立足现实，着眼大数据时代，力求探究个人信息权的法律涵义，并通过域外相关制度的考察，从而提出了我国个人信息法律保护的制度建构。</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黑体" w:cs="Times New Roman"/>
          <w:b/>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eastAsia="黑体" w:cs="Times New Roman"/>
          <w:b/>
          <w:sz w:val="21"/>
          <w:szCs w:val="21"/>
        </w:rPr>
      </w:pPr>
      <w:r>
        <w:rPr>
          <w:rFonts w:hint="default" w:ascii="Times New Roman" w:hAnsi="Times New Roman" w:eastAsia="黑体" w:cs="Times New Roman"/>
          <w:b/>
          <w:sz w:val="28"/>
          <w:szCs w:val="28"/>
        </w:rPr>
        <w:t>参 考 文 献</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eastAsia" w:cs="Times New Roman"/>
          <w:lang w:val="en-US" w:eastAsia="zh-CN"/>
        </w:rPr>
        <w:t xml:space="preserve">[1] </w:t>
      </w:r>
      <w:r>
        <w:rPr>
          <w:rFonts w:hint="default" w:ascii="Times New Roman" w:hAnsi="Times New Roman" w:cs="Times New Roman"/>
        </w:rPr>
        <w:t>邱敏</w:t>
      </w:r>
      <w:r>
        <w:rPr>
          <w:rFonts w:hint="eastAsia" w:cs="Times New Roman"/>
          <w:lang w:eastAsia="zh-CN"/>
        </w:rPr>
        <w:t>，</w:t>
      </w:r>
      <w:r>
        <w:rPr>
          <w:rFonts w:hint="default" w:ascii="Times New Roman" w:hAnsi="Times New Roman" w:cs="Times New Roman"/>
        </w:rPr>
        <w:t>大数据时代背景下网络搜索与个人信息保护探讨[J]</w:t>
      </w:r>
      <w:r>
        <w:rPr>
          <w:rFonts w:hint="default" w:ascii="Times New Roman" w:hAnsi="Times New Roman" w:cs="Times New Roman"/>
          <w:lang w:eastAsia="zh-CN"/>
        </w:rPr>
        <w:t>，</w:t>
      </w:r>
      <w:r>
        <w:rPr>
          <w:rFonts w:hint="default" w:ascii="Times New Roman" w:hAnsi="Times New Roman" w:cs="Times New Roman"/>
        </w:rPr>
        <w:t>信息化建设</w:t>
      </w:r>
      <w:r>
        <w:rPr>
          <w:rFonts w:hint="eastAsia" w:cs="Times New Roman"/>
          <w:lang w:eastAsia="zh-CN"/>
        </w:rPr>
        <w:t>，</w:t>
      </w:r>
      <w:r>
        <w:rPr>
          <w:rFonts w:hint="default" w:ascii="Times New Roman" w:hAnsi="Times New Roman" w:cs="Times New Roman"/>
        </w:rPr>
        <w:t>2015(12).</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[2]</w:t>
      </w:r>
      <w:r>
        <w:rPr>
          <w:rFonts w:hint="eastAsia" w:cs="Times New Roman"/>
          <w:lang w:val="en-US" w:eastAsia="zh-CN"/>
        </w:rPr>
        <w:t xml:space="preserve"> </w:t>
      </w:r>
      <w:r>
        <w:rPr>
          <w:rFonts w:hint="default" w:ascii="Times New Roman" w:hAnsi="Times New Roman" w:cs="Times New Roman"/>
        </w:rPr>
        <w:t>宋曦</w:t>
      </w:r>
      <w:r>
        <w:rPr>
          <w:rFonts w:hint="eastAsia" w:cs="Times New Roman"/>
          <w:lang w:eastAsia="zh-CN"/>
        </w:rPr>
        <w:t>，</w:t>
      </w:r>
      <w:r>
        <w:rPr>
          <w:rFonts w:hint="default" w:ascii="Times New Roman" w:hAnsi="Times New Roman" w:cs="Times New Roman"/>
        </w:rPr>
        <w:t>大数据时代的个人信息保护机制研究[D]</w:t>
      </w:r>
      <w:r>
        <w:rPr>
          <w:rFonts w:hint="default" w:ascii="Times New Roman" w:hAnsi="Times New Roman" w:cs="Times New Roman"/>
          <w:lang w:eastAsia="zh-CN"/>
        </w:rPr>
        <w:t>，</w:t>
      </w:r>
      <w:r>
        <w:rPr>
          <w:rFonts w:hint="default" w:ascii="Times New Roman" w:hAnsi="Times New Roman" w:cs="Times New Roman"/>
        </w:rPr>
        <w:t>重庆大学</w:t>
      </w:r>
      <w:r>
        <w:rPr>
          <w:rFonts w:hint="eastAsia" w:cs="Times New Roman"/>
          <w:lang w:eastAsia="zh-CN"/>
        </w:rPr>
        <w:t>，</w:t>
      </w:r>
      <w:r>
        <w:rPr>
          <w:rFonts w:hint="default" w:ascii="Times New Roman" w:hAnsi="Times New Roman" w:cs="Times New Roman"/>
        </w:rPr>
        <w:t>2014.</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[3]</w:t>
      </w:r>
      <w:r>
        <w:rPr>
          <w:rFonts w:hint="eastAsia" w:cs="Times New Roman"/>
          <w:lang w:val="en-US" w:eastAsia="zh-CN"/>
        </w:rPr>
        <w:t xml:space="preserve"> </w:t>
      </w:r>
      <w:r>
        <w:rPr>
          <w:rFonts w:hint="default" w:ascii="Times New Roman" w:hAnsi="Times New Roman" w:cs="Times New Roman"/>
        </w:rPr>
        <w:t>陶茂丽</w:t>
      </w:r>
      <w:r>
        <w:rPr>
          <w:rFonts w:hint="eastAsia" w:cs="Times New Roman"/>
          <w:lang w:eastAsia="zh-CN"/>
        </w:rPr>
        <w:t>、</w:t>
      </w:r>
      <w:r>
        <w:rPr>
          <w:rFonts w:hint="default" w:ascii="Times New Roman" w:hAnsi="Times New Roman" w:cs="Times New Roman"/>
        </w:rPr>
        <w:t>王泽成</w:t>
      </w:r>
      <w:r>
        <w:rPr>
          <w:rFonts w:hint="eastAsia" w:cs="Times New Roman"/>
          <w:lang w:eastAsia="zh-CN"/>
        </w:rPr>
        <w:t>，</w:t>
      </w:r>
      <w:r>
        <w:rPr>
          <w:rFonts w:hint="default" w:ascii="Times New Roman" w:hAnsi="Times New Roman" w:cs="Times New Roman"/>
        </w:rPr>
        <w:t>大数据时代的个人信息保护机制研究[J]</w:t>
      </w:r>
      <w:r>
        <w:rPr>
          <w:rFonts w:hint="default" w:ascii="Times New Roman" w:hAnsi="Times New Roman" w:cs="Times New Roman"/>
          <w:lang w:eastAsia="zh-CN"/>
        </w:rPr>
        <w:t>，</w:t>
      </w:r>
      <w:r>
        <w:rPr>
          <w:rFonts w:hint="default" w:ascii="Times New Roman" w:hAnsi="Times New Roman" w:cs="Times New Roman"/>
        </w:rPr>
        <w:t>情报探索</w:t>
      </w:r>
      <w:r>
        <w:rPr>
          <w:rFonts w:hint="eastAsia" w:cs="Times New Roman"/>
          <w:lang w:eastAsia="zh-CN"/>
        </w:rPr>
        <w:t>，</w:t>
      </w:r>
      <w:r>
        <w:rPr>
          <w:rFonts w:hint="default" w:ascii="Times New Roman" w:hAnsi="Times New Roman" w:cs="Times New Roman"/>
        </w:rPr>
        <w:t>2016(1):12-19.</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[4]</w:t>
      </w:r>
      <w:r>
        <w:rPr>
          <w:rFonts w:hint="eastAsia" w:cs="Times New Roman"/>
          <w:lang w:val="en-US" w:eastAsia="zh-CN"/>
        </w:rPr>
        <w:t xml:space="preserve"> </w:t>
      </w:r>
      <w:r>
        <w:rPr>
          <w:rFonts w:hint="default" w:ascii="Times New Roman" w:hAnsi="Times New Roman" w:cs="Times New Roman"/>
        </w:rPr>
        <w:t>周丹</w:t>
      </w:r>
      <w:r>
        <w:rPr>
          <w:rFonts w:hint="eastAsia" w:cs="Times New Roman"/>
          <w:lang w:eastAsia="zh-CN"/>
        </w:rPr>
        <w:t>，</w:t>
      </w:r>
      <w:r>
        <w:rPr>
          <w:rFonts w:hint="default" w:ascii="Times New Roman" w:hAnsi="Times New Roman" w:cs="Times New Roman"/>
        </w:rPr>
        <w:t>大数据时代个人数据民法保护问题研究[D]</w:t>
      </w:r>
      <w:r>
        <w:rPr>
          <w:rFonts w:hint="default" w:ascii="Times New Roman" w:hAnsi="Times New Roman" w:cs="Times New Roman"/>
          <w:lang w:eastAsia="zh-CN"/>
        </w:rPr>
        <w:t>，</w:t>
      </w:r>
      <w:r>
        <w:rPr>
          <w:rFonts w:hint="default" w:ascii="Times New Roman" w:hAnsi="Times New Roman" w:cs="Times New Roman"/>
        </w:rPr>
        <w:t>华中师范大学</w:t>
      </w:r>
      <w:r>
        <w:rPr>
          <w:rFonts w:hint="eastAsia" w:cs="Times New Roman"/>
          <w:lang w:eastAsia="zh-CN"/>
        </w:rPr>
        <w:t>，</w:t>
      </w:r>
      <w:r>
        <w:rPr>
          <w:rFonts w:hint="default" w:ascii="Times New Roman" w:hAnsi="Times New Roman" w:cs="Times New Roman"/>
        </w:rPr>
        <w:t>015.</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[5]</w:t>
      </w:r>
      <w:r>
        <w:rPr>
          <w:rFonts w:hint="eastAsia" w:cs="Times New Roman"/>
          <w:lang w:val="en-US" w:eastAsia="zh-CN"/>
        </w:rPr>
        <w:t xml:space="preserve"> </w:t>
      </w:r>
      <w:r>
        <w:rPr>
          <w:rFonts w:hint="default" w:ascii="Times New Roman" w:hAnsi="Times New Roman" w:cs="Times New Roman"/>
        </w:rPr>
        <w:t>侯志英</w:t>
      </w:r>
      <w:r>
        <w:rPr>
          <w:rFonts w:hint="eastAsia" w:cs="Times New Roman"/>
          <w:lang w:eastAsia="zh-CN"/>
        </w:rPr>
        <w:t>，</w:t>
      </w:r>
      <w:r>
        <w:rPr>
          <w:rFonts w:hint="default" w:ascii="Times New Roman" w:hAnsi="Times New Roman" w:cs="Times New Roman"/>
        </w:rPr>
        <w:t>从立法视角看大数据时代的个人信息保护[J]</w:t>
      </w:r>
      <w:r>
        <w:rPr>
          <w:rFonts w:hint="default" w:ascii="Times New Roman" w:hAnsi="Times New Roman" w:cs="Times New Roman"/>
          <w:lang w:eastAsia="zh-CN"/>
        </w:rPr>
        <w:t>，</w:t>
      </w:r>
      <w:r>
        <w:rPr>
          <w:rFonts w:hint="default" w:ascii="Times New Roman" w:hAnsi="Times New Roman" w:cs="Times New Roman"/>
        </w:rPr>
        <w:t>生产力研究</w:t>
      </w:r>
      <w:r>
        <w:rPr>
          <w:rFonts w:hint="eastAsia" w:cs="Times New Roman"/>
          <w:lang w:eastAsia="zh-CN"/>
        </w:rPr>
        <w:t>，</w:t>
      </w:r>
      <w:r>
        <w:rPr>
          <w:rFonts w:hint="default" w:ascii="Times New Roman" w:hAnsi="Times New Roman" w:cs="Times New Roman"/>
        </w:rPr>
        <w:t>2015(12):75-77.</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[6]</w:t>
      </w:r>
      <w:r>
        <w:rPr>
          <w:rFonts w:hint="eastAsia" w:cs="Times New Roman"/>
          <w:lang w:val="en-US" w:eastAsia="zh-CN"/>
        </w:rPr>
        <w:t xml:space="preserve"> </w:t>
      </w:r>
      <w:r>
        <w:rPr>
          <w:rFonts w:hint="default" w:ascii="Times New Roman" w:hAnsi="Times New Roman" w:cs="Times New Roman"/>
        </w:rPr>
        <w:t>周东</w:t>
      </w:r>
      <w:r>
        <w:rPr>
          <w:rFonts w:hint="eastAsia" w:cs="Times New Roman"/>
          <w:lang w:eastAsia="zh-CN"/>
        </w:rPr>
        <w:t>，</w:t>
      </w:r>
      <w:r>
        <w:rPr>
          <w:rFonts w:hint="default" w:ascii="Times New Roman" w:hAnsi="Times New Roman" w:cs="Times New Roman"/>
        </w:rPr>
        <w:t>大数据时代下的个人信息与隐私——基于域外法的比较研究[J]</w:t>
      </w:r>
      <w:r>
        <w:rPr>
          <w:rFonts w:hint="default" w:ascii="Times New Roman" w:hAnsi="Times New Roman" w:cs="Times New Roman"/>
          <w:lang w:eastAsia="zh-CN"/>
        </w:rPr>
        <w:t>，</w:t>
      </w:r>
      <w:r>
        <w:rPr>
          <w:rFonts w:hint="default" w:ascii="Times New Roman" w:hAnsi="Times New Roman" w:cs="Times New Roman"/>
        </w:rPr>
        <w:t>研究生法学</w:t>
      </w:r>
      <w:r>
        <w:rPr>
          <w:rFonts w:hint="eastAsia" w:cs="Times New Roman"/>
          <w:lang w:eastAsia="zh-CN"/>
        </w:rPr>
        <w:t>，</w:t>
      </w:r>
      <w:r>
        <w:rPr>
          <w:rFonts w:hint="default" w:ascii="Times New Roman" w:hAnsi="Times New Roman" w:cs="Times New Roman"/>
        </w:rPr>
        <w:t>2015(4).</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[7]</w:t>
      </w:r>
      <w:r>
        <w:rPr>
          <w:rFonts w:hint="eastAsia" w:cs="Times New Roman"/>
          <w:lang w:val="en-US" w:eastAsia="zh-CN"/>
        </w:rPr>
        <w:t xml:space="preserve"> </w:t>
      </w:r>
      <w:r>
        <w:rPr>
          <w:rFonts w:hint="default" w:ascii="Times New Roman" w:hAnsi="Times New Roman" w:cs="Times New Roman"/>
        </w:rPr>
        <w:t>陈江</w:t>
      </w:r>
      <w:r>
        <w:rPr>
          <w:rFonts w:hint="eastAsia" w:cs="Times New Roman"/>
          <w:lang w:eastAsia="zh-CN"/>
        </w:rPr>
        <w:t>，</w:t>
      </w:r>
      <w:r>
        <w:rPr>
          <w:rFonts w:hint="default" w:ascii="Times New Roman" w:hAnsi="Times New Roman" w:cs="Times New Roman"/>
        </w:rPr>
        <w:t>大数据时代下个人信息权的法律保护[D]</w:t>
      </w:r>
      <w:r>
        <w:rPr>
          <w:rFonts w:hint="default" w:ascii="Times New Roman" w:hAnsi="Times New Roman" w:cs="Times New Roman"/>
          <w:lang w:eastAsia="zh-CN"/>
        </w:rPr>
        <w:t>，</w:t>
      </w:r>
      <w:r>
        <w:rPr>
          <w:rFonts w:hint="default" w:ascii="Times New Roman" w:hAnsi="Times New Roman" w:cs="Times New Roman"/>
        </w:rPr>
        <w:t>复旦大学,</w:t>
      </w:r>
      <w:r>
        <w:rPr>
          <w:rFonts w:hint="eastAsia" w:cs="Times New Roman"/>
          <w:lang w:eastAsia="zh-CN"/>
        </w:rPr>
        <w:t>，</w:t>
      </w:r>
      <w:r>
        <w:rPr>
          <w:rFonts w:hint="default" w:ascii="Times New Roman" w:hAnsi="Times New Roman" w:cs="Times New Roman"/>
        </w:rPr>
        <w:t>014.</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[8]</w:t>
      </w:r>
      <w:r>
        <w:rPr>
          <w:rFonts w:hint="eastAsia" w:cs="Times New Roman"/>
          <w:lang w:val="en-US" w:eastAsia="zh-CN"/>
        </w:rPr>
        <w:t xml:space="preserve"> </w:t>
      </w:r>
      <w:r>
        <w:rPr>
          <w:rFonts w:hint="default" w:ascii="Times New Roman" w:hAnsi="Times New Roman" w:cs="Times New Roman"/>
        </w:rPr>
        <w:t>柯臻轩</w:t>
      </w:r>
      <w:r>
        <w:rPr>
          <w:rFonts w:hint="eastAsia" w:cs="Times New Roman"/>
          <w:lang w:eastAsia="zh-CN"/>
        </w:rPr>
        <w:t>、</w:t>
      </w:r>
      <w:r>
        <w:rPr>
          <w:rFonts w:hint="default" w:ascii="Times New Roman" w:hAnsi="Times New Roman" w:cs="Times New Roman"/>
        </w:rPr>
        <w:t>余露芸</w:t>
      </w:r>
      <w:r>
        <w:rPr>
          <w:rFonts w:hint="eastAsia" w:cs="Times New Roman"/>
          <w:lang w:eastAsia="zh-CN"/>
        </w:rPr>
        <w:t>、</w:t>
      </w:r>
      <w:r>
        <w:rPr>
          <w:rFonts w:hint="default" w:ascii="Times New Roman" w:hAnsi="Times New Roman" w:cs="Times New Roman"/>
        </w:rPr>
        <w:t>郭志勇</w:t>
      </w:r>
      <w:r>
        <w:rPr>
          <w:rFonts w:hint="eastAsia" w:cs="Times New Roman"/>
          <w:lang w:eastAsia="zh-CN"/>
        </w:rPr>
        <w:t>，</w:t>
      </w:r>
      <w:r>
        <w:rPr>
          <w:rFonts w:hint="default" w:ascii="Times New Roman" w:hAnsi="Times New Roman" w:cs="Times New Roman"/>
        </w:rPr>
        <w:t>大数据时代下个人隐私保护的调研分析[J]</w:t>
      </w:r>
      <w:r>
        <w:rPr>
          <w:rFonts w:hint="default" w:ascii="Times New Roman" w:hAnsi="Times New Roman" w:cs="Times New Roman"/>
          <w:lang w:eastAsia="zh-CN"/>
        </w:rPr>
        <w:t>，</w:t>
      </w:r>
      <w:r>
        <w:rPr>
          <w:rFonts w:hint="default" w:ascii="Times New Roman" w:hAnsi="Times New Roman" w:cs="Times New Roman"/>
        </w:rPr>
        <w:t>经济研究导刊</w:t>
      </w:r>
      <w:r>
        <w:rPr>
          <w:rFonts w:hint="eastAsia" w:cs="Times New Roman"/>
          <w:lang w:eastAsia="zh-CN"/>
        </w:rPr>
        <w:t>，</w:t>
      </w:r>
      <w:r>
        <w:rPr>
          <w:rFonts w:hint="default" w:ascii="Times New Roman" w:hAnsi="Times New Roman" w:cs="Times New Roman"/>
        </w:rPr>
        <w:t>2015(2):299-301.</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[9</w:t>
      </w:r>
      <w:r>
        <w:rPr>
          <w:rFonts w:hint="eastAsia" w:cs="Times New Roman"/>
          <w:lang w:val="en-US" w:eastAsia="zh-CN"/>
        </w:rPr>
        <w:t xml:space="preserve">] </w:t>
      </w:r>
      <w:r>
        <w:rPr>
          <w:rFonts w:hint="default" w:ascii="Times New Roman" w:hAnsi="Times New Roman" w:cs="Times New Roman"/>
        </w:rPr>
        <w:t>底涵钰</w:t>
      </w:r>
      <w:r>
        <w:rPr>
          <w:rFonts w:hint="eastAsia" w:cs="Times New Roman"/>
          <w:lang w:eastAsia="zh-CN"/>
        </w:rPr>
        <w:t>、</w:t>
      </w:r>
      <w:r>
        <w:rPr>
          <w:rFonts w:hint="default" w:ascii="Times New Roman" w:hAnsi="Times New Roman" w:cs="Times New Roman"/>
        </w:rPr>
        <w:t>郑允凡</w:t>
      </w:r>
      <w:r>
        <w:rPr>
          <w:rFonts w:hint="eastAsia" w:cs="Times New Roman"/>
          <w:lang w:eastAsia="zh-CN"/>
        </w:rPr>
        <w:t>、</w:t>
      </w:r>
      <w:r>
        <w:rPr>
          <w:rFonts w:hint="default" w:ascii="Times New Roman" w:hAnsi="Times New Roman" w:cs="Times New Roman"/>
        </w:rPr>
        <w:t>吕琳</w:t>
      </w:r>
      <w:r>
        <w:rPr>
          <w:rFonts w:hint="eastAsia" w:cs="Times New Roman"/>
          <w:lang w:eastAsia="zh-CN"/>
        </w:rPr>
        <w:t>，</w:t>
      </w:r>
      <w:r>
        <w:rPr>
          <w:rFonts w:hint="default" w:ascii="Times New Roman" w:hAnsi="Times New Roman" w:cs="Times New Roman"/>
        </w:rPr>
        <w:t>大数据时代新媒体传播中个人信息安全问题研究——以“广东人肉搜索第一案”为例[J]</w:t>
      </w:r>
      <w:r>
        <w:rPr>
          <w:rFonts w:hint="default" w:ascii="Times New Roman" w:hAnsi="Times New Roman" w:cs="Times New Roman"/>
          <w:lang w:eastAsia="zh-CN"/>
        </w:rPr>
        <w:t>，</w:t>
      </w:r>
      <w:r>
        <w:rPr>
          <w:rFonts w:hint="default" w:ascii="Times New Roman" w:hAnsi="Times New Roman" w:cs="Times New Roman"/>
        </w:rPr>
        <w:t>西部广播电视</w:t>
      </w:r>
      <w:r>
        <w:rPr>
          <w:rFonts w:hint="eastAsia" w:cs="Times New Roman"/>
          <w:lang w:eastAsia="zh-CN"/>
        </w:rPr>
        <w:t>，</w:t>
      </w:r>
      <w:r>
        <w:rPr>
          <w:rFonts w:hint="default" w:ascii="Times New Roman" w:hAnsi="Times New Roman" w:cs="Times New Roman"/>
        </w:rPr>
        <w:t>2015(12):42-46.</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[10]</w:t>
      </w:r>
      <w:r>
        <w:rPr>
          <w:rFonts w:hint="eastAsia" w:cs="Times New Roman"/>
          <w:lang w:val="en-US" w:eastAsia="zh-CN"/>
        </w:rPr>
        <w:t xml:space="preserve"> </w:t>
      </w:r>
      <w:r>
        <w:rPr>
          <w:rFonts w:hint="default" w:ascii="Times New Roman" w:hAnsi="Times New Roman" w:cs="Times New Roman"/>
        </w:rPr>
        <w:t>杨咏婕</w:t>
      </w:r>
      <w:r>
        <w:rPr>
          <w:rFonts w:hint="eastAsia" w:cs="Times New Roman"/>
          <w:lang w:eastAsia="zh-CN"/>
        </w:rPr>
        <w:t>，</w:t>
      </w:r>
      <w:r>
        <w:rPr>
          <w:rFonts w:hint="default" w:ascii="Times New Roman" w:hAnsi="Times New Roman" w:cs="Times New Roman"/>
        </w:rPr>
        <w:t>个人信息的私法保护研究[D]</w:t>
      </w:r>
      <w:r>
        <w:rPr>
          <w:rFonts w:hint="default" w:ascii="Times New Roman" w:hAnsi="Times New Roman" w:cs="Times New Roman"/>
          <w:lang w:eastAsia="zh-CN"/>
        </w:rPr>
        <w:t>，</w:t>
      </w:r>
      <w:r>
        <w:rPr>
          <w:rFonts w:hint="default" w:ascii="Times New Roman" w:hAnsi="Times New Roman" w:cs="Times New Roman"/>
        </w:rPr>
        <w:t>吉林大学</w:t>
      </w:r>
      <w:r>
        <w:rPr>
          <w:rFonts w:hint="eastAsia" w:cs="Times New Roman"/>
          <w:lang w:eastAsia="zh-CN"/>
        </w:rPr>
        <w:t>，</w:t>
      </w:r>
      <w:r>
        <w:rPr>
          <w:rFonts w:hint="default" w:ascii="Times New Roman" w:hAnsi="Times New Roman" w:cs="Times New Roman"/>
        </w:rPr>
        <w:t>2013.</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[11]</w:t>
      </w:r>
      <w:r>
        <w:rPr>
          <w:rFonts w:hint="eastAsia" w:cs="Times New Roman"/>
          <w:lang w:val="en-US" w:eastAsia="zh-CN"/>
        </w:rPr>
        <w:t xml:space="preserve"> </w:t>
      </w:r>
      <w:r>
        <w:rPr>
          <w:rFonts w:hint="default" w:ascii="Times New Roman" w:hAnsi="Times New Roman" w:cs="Times New Roman"/>
        </w:rPr>
        <w:t>童俊</w:t>
      </w:r>
      <w:r>
        <w:rPr>
          <w:rFonts w:hint="eastAsia" w:cs="Times New Roman"/>
          <w:lang w:eastAsia="zh-CN"/>
        </w:rPr>
        <w:t>，</w:t>
      </w:r>
      <w:r>
        <w:rPr>
          <w:rFonts w:hint="default" w:ascii="Times New Roman" w:hAnsi="Times New Roman" w:cs="Times New Roman"/>
        </w:rPr>
        <w:t>个人信息法律保护的法理学研究[J]</w:t>
      </w:r>
      <w:r>
        <w:rPr>
          <w:rFonts w:hint="default" w:ascii="Times New Roman" w:hAnsi="Times New Roman" w:cs="Times New Roman"/>
          <w:lang w:eastAsia="zh-CN"/>
        </w:rPr>
        <w:t>，</w:t>
      </w:r>
      <w:r>
        <w:rPr>
          <w:rFonts w:hint="default" w:ascii="Times New Roman" w:hAnsi="Times New Roman" w:cs="Times New Roman"/>
        </w:rPr>
        <w:t>法制与社会</w:t>
      </w:r>
      <w:r>
        <w:rPr>
          <w:rFonts w:hint="eastAsia" w:cs="Times New Roman"/>
          <w:lang w:eastAsia="zh-CN"/>
        </w:rPr>
        <w:t>，</w:t>
      </w:r>
      <w:r>
        <w:rPr>
          <w:rFonts w:hint="default" w:ascii="Times New Roman" w:hAnsi="Times New Roman" w:cs="Times New Roman"/>
        </w:rPr>
        <w:t>2015(2).</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[12]</w:t>
      </w:r>
      <w:r>
        <w:rPr>
          <w:rFonts w:hint="eastAsia" w:cs="Times New Roman"/>
          <w:lang w:val="en-US" w:eastAsia="zh-CN"/>
        </w:rPr>
        <w:t xml:space="preserve"> </w:t>
      </w:r>
      <w:r>
        <w:rPr>
          <w:rFonts w:hint="default" w:ascii="Times New Roman" w:hAnsi="Times New Roman" w:cs="Times New Roman"/>
        </w:rPr>
        <w:t>刘宇晗</w:t>
      </w:r>
      <w:r>
        <w:rPr>
          <w:rFonts w:hint="eastAsia" w:cs="Times New Roman"/>
          <w:lang w:eastAsia="zh-CN"/>
        </w:rPr>
        <w:t>，</w:t>
      </w:r>
      <w:r>
        <w:rPr>
          <w:rFonts w:hint="default" w:ascii="Times New Roman" w:hAnsi="Times New Roman" w:cs="Times New Roman"/>
        </w:rPr>
        <w:t>个人信息权的民法保护范式之研究[D]</w:t>
      </w:r>
      <w:r>
        <w:rPr>
          <w:rFonts w:hint="default" w:ascii="Times New Roman" w:hAnsi="Times New Roman" w:cs="Times New Roman"/>
          <w:lang w:eastAsia="zh-CN"/>
        </w:rPr>
        <w:t>，</w:t>
      </w:r>
      <w:r>
        <w:rPr>
          <w:rFonts w:hint="default" w:ascii="Times New Roman" w:hAnsi="Times New Roman" w:cs="Times New Roman"/>
        </w:rPr>
        <w:t>山东大学</w:t>
      </w:r>
      <w:r>
        <w:rPr>
          <w:rFonts w:hint="eastAsia" w:cs="Times New Roman"/>
          <w:lang w:eastAsia="zh-CN"/>
        </w:rPr>
        <w:t>，</w:t>
      </w:r>
      <w:r>
        <w:rPr>
          <w:rFonts w:hint="default" w:ascii="Times New Roman" w:hAnsi="Times New Roman" w:cs="Times New Roman"/>
        </w:rPr>
        <w:t>2014.</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[13]</w:t>
      </w:r>
      <w:r>
        <w:rPr>
          <w:rFonts w:hint="eastAsia" w:cs="Times New Roman"/>
          <w:lang w:val="en-US" w:eastAsia="zh-CN"/>
        </w:rPr>
        <w:t xml:space="preserve"> </w:t>
      </w:r>
      <w:r>
        <w:rPr>
          <w:rFonts w:hint="default" w:ascii="Times New Roman" w:hAnsi="Times New Roman" w:cs="Times New Roman"/>
        </w:rPr>
        <w:t>王利明</w:t>
      </w:r>
      <w:r>
        <w:rPr>
          <w:rFonts w:hint="eastAsia" w:cs="Times New Roman"/>
          <w:lang w:eastAsia="zh-CN"/>
        </w:rPr>
        <w:t>，</w:t>
      </w:r>
      <w:r>
        <w:rPr>
          <w:rFonts w:hint="default" w:ascii="Times New Roman" w:hAnsi="Times New Roman" w:cs="Times New Roman"/>
        </w:rPr>
        <w:t>论个人信息权的法律保护[J]</w:t>
      </w:r>
      <w:r>
        <w:rPr>
          <w:rFonts w:hint="default" w:ascii="Times New Roman" w:hAnsi="Times New Roman" w:cs="Times New Roman"/>
          <w:lang w:eastAsia="zh-CN"/>
        </w:rPr>
        <w:t>，</w:t>
      </w:r>
      <w:r>
        <w:rPr>
          <w:rFonts w:hint="default" w:ascii="Times New Roman" w:hAnsi="Times New Roman" w:cs="Times New Roman"/>
        </w:rPr>
        <w:t>现代法学</w:t>
      </w:r>
      <w:r>
        <w:rPr>
          <w:rFonts w:hint="eastAsia" w:cs="Times New Roman"/>
          <w:lang w:eastAsia="zh-CN"/>
        </w:rPr>
        <w:t>，</w:t>
      </w:r>
      <w:r>
        <w:rPr>
          <w:rFonts w:hint="default" w:ascii="Times New Roman" w:hAnsi="Times New Roman" w:cs="Times New Roman"/>
        </w:rPr>
        <w:t>2013.</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[14]</w:t>
      </w:r>
      <w:r>
        <w:rPr>
          <w:rFonts w:hint="eastAsia" w:cs="Times New Roman"/>
          <w:lang w:val="en-US" w:eastAsia="zh-CN"/>
        </w:rPr>
        <w:t xml:space="preserve"> </w:t>
      </w:r>
      <w:r>
        <w:rPr>
          <w:rFonts w:hint="default" w:ascii="Times New Roman" w:hAnsi="Times New Roman" w:cs="Times New Roman"/>
        </w:rPr>
        <w:t>金春梅</w:t>
      </w:r>
      <w:r>
        <w:rPr>
          <w:rFonts w:hint="eastAsia" w:cs="Times New Roman"/>
          <w:lang w:eastAsia="zh-CN"/>
        </w:rPr>
        <w:t>，</w:t>
      </w:r>
      <w:r>
        <w:rPr>
          <w:rFonts w:hint="default" w:ascii="Times New Roman" w:hAnsi="Times New Roman" w:cs="Times New Roman"/>
        </w:rPr>
        <w:t>论个人信息权民法保护[D]</w:t>
      </w:r>
      <w:r>
        <w:rPr>
          <w:rFonts w:hint="default" w:ascii="Times New Roman" w:hAnsi="Times New Roman" w:cs="Times New Roman"/>
          <w:lang w:eastAsia="zh-CN"/>
        </w:rPr>
        <w:t>，</w:t>
      </w:r>
      <w:r>
        <w:rPr>
          <w:rFonts w:hint="default" w:ascii="Times New Roman" w:hAnsi="Times New Roman" w:cs="Times New Roman"/>
        </w:rPr>
        <w:t>沈阳工业大学</w:t>
      </w:r>
      <w:r>
        <w:rPr>
          <w:rFonts w:hint="eastAsia" w:cs="Times New Roman"/>
          <w:lang w:eastAsia="zh-CN"/>
        </w:rPr>
        <w:t>，</w:t>
      </w:r>
      <w:r>
        <w:rPr>
          <w:rFonts w:hint="default" w:ascii="Times New Roman" w:hAnsi="Times New Roman" w:cs="Times New Roman"/>
        </w:rPr>
        <w:t>2015.</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[15]</w:t>
      </w:r>
      <w:r>
        <w:rPr>
          <w:rFonts w:hint="eastAsia" w:cs="Times New Roman"/>
          <w:lang w:val="en-US" w:eastAsia="zh-CN"/>
        </w:rPr>
        <w:t xml:space="preserve"> </w:t>
      </w:r>
      <w:r>
        <w:rPr>
          <w:rFonts w:hint="default" w:ascii="Times New Roman" w:hAnsi="Times New Roman" w:cs="Times New Roman"/>
        </w:rPr>
        <w:t>俞信吉</w:t>
      </w:r>
      <w:r>
        <w:rPr>
          <w:rFonts w:hint="eastAsia" w:cs="Times New Roman"/>
          <w:lang w:eastAsia="zh-CN"/>
        </w:rPr>
        <w:t>，</w:t>
      </w:r>
      <w:r>
        <w:rPr>
          <w:rFonts w:hint="default" w:ascii="Times New Roman" w:hAnsi="Times New Roman" w:cs="Times New Roman"/>
        </w:rPr>
        <w:t>论网络环境下个人信息的民法保护[D]</w:t>
      </w:r>
      <w:r>
        <w:rPr>
          <w:rFonts w:hint="default" w:ascii="Times New Roman" w:hAnsi="Times New Roman" w:cs="Times New Roman"/>
          <w:lang w:eastAsia="zh-CN"/>
        </w:rPr>
        <w:t>，</w:t>
      </w:r>
      <w:r>
        <w:rPr>
          <w:rFonts w:hint="default" w:ascii="Times New Roman" w:hAnsi="Times New Roman" w:cs="Times New Roman"/>
        </w:rPr>
        <w:t>宁波大学</w:t>
      </w:r>
      <w:r>
        <w:rPr>
          <w:rFonts w:hint="eastAsia" w:cs="Times New Roman"/>
          <w:lang w:eastAsia="zh-CN"/>
        </w:rPr>
        <w:t>，</w:t>
      </w:r>
      <w:r>
        <w:rPr>
          <w:rFonts w:hint="default" w:ascii="Times New Roman" w:hAnsi="Times New Roman" w:cs="Times New Roman"/>
        </w:rPr>
        <w:t>2010.</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[16]</w:t>
      </w:r>
      <w:r>
        <w:rPr>
          <w:rFonts w:hint="eastAsia" w:cs="Times New Roman"/>
          <w:lang w:val="en-US" w:eastAsia="zh-CN"/>
        </w:rPr>
        <w:t xml:space="preserve"> </w:t>
      </w:r>
      <w:r>
        <w:rPr>
          <w:rFonts w:hint="default" w:ascii="Times New Roman" w:hAnsi="Times New Roman" w:cs="Times New Roman"/>
        </w:rPr>
        <w:t>梁辰曦</w:t>
      </w:r>
      <w:r>
        <w:rPr>
          <w:rFonts w:hint="eastAsia" w:cs="Times New Roman"/>
          <w:lang w:eastAsia="zh-CN"/>
        </w:rPr>
        <w:t>、</w:t>
      </w:r>
      <w:r>
        <w:rPr>
          <w:rFonts w:hint="default" w:ascii="Times New Roman" w:hAnsi="Times New Roman" w:cs="Times New Roman"/>
        </w:rPr>
        <w:t>董天策</w:t>
      </w:r>
      <w:r>
        <w:rPr>
          <w:rFonts w:hint="eastAsia" w:cs="Times New Roman"/>
          <w:lang w:eastAsia="zh-CN"/>
        </w:rPr>
        <w:t>，</w:t>
      </w:r>
      <w:r>
        <w:rPr>
          <w:rFonts w:hint="default" w:ascii="Times New Roman" w:hAnsi="Times New Roman" w:cs="Times New Roman"/>
        </w:rPr>
        <w:t>试论大数据背景下“被遗忘权”的属性及其边界[J]</w:t>
      </w:r>
      <w:r>
        <w:rPr>
          <w:rFonts w:hint="default" w:ascii="Times New Roman" w:hAnsi="Times New Roman" w:cs="Times New Roman"/>
          <w:lang w:eastAsia="zh-CN"/>
        </w:rPr>
        <w:t>，</w:t>
      </w:r>
      <w:r>
        <w:rPr>
          <w:rFonts w:hint="default" w:ascii="Times New Roman" w:hAnsi="Times New Roman" w:cs="Times New Roman"/>
        </w:rPr>
        <w:t>学术研究</w:t>
      </w:r>
      <w:r>
        <w:rPr>
          <w:rFonts w:hint="eastAsia" w:cs="Times New Roman"/>
          <w:lang w:eastAsia="zh-CN"/>
        </w:rPr>
        <w:t>，</w:t>
      </w:r>
      <w:r>
        <w:rPr>
          <w:rFonts w:hint="default" w:ascii="Times New Roman" w:hAnsi="Times New Roman" w:cs="Times New Roman"/>
        </w:rPr>
        <w:t>2015(9):31-36.</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[17]</w:t>
      </w:r>
      <w:r>
        <w:rPr>
          <w:rFonts w:hint="eastAsia" w:cs="Times New Roman"/>
          <w:lang w:val="en-US" w:eastAsia="zh-CN"/>
        </w:rPr>
        <w:t xml:space="preserve"> </w:t>
      </w:r>
      <w:r>
        <w:rPr>
          <w:rFonts w:hint="default" w:ascii="Times New Roman" w:hAnsi="Times New Roman" w:cs="Times New Roman"/>
        </w:rPr>
        <w:t>雒彬</w:t>
      </w:r>
      <w:r>
        <w:rPr>
          <w:rFonts w:hint="eastAsia" w:cs="Times New Roman"/>
          <w:lang w:eastAsia="zh-CN"/>
        </w:rPr>
        <w:t>，</w:t>
      </w:r>
      <w:r>
        <w:rPr>
          <w:rFonts w:hint="default" w:ascii="Times New Roman" w:hAnsi="Times New Roman" w:cs="Times New Roman"/>
        </w:rPr>
        <w:t>试论大数据时代下个人信息安全的立法方向[J]</w:t>
      </w:r>
      <w:r>
        <w:rPr>
          <w:rFonts w:hint="default" w:ascii="Times New Roman" w:hAnsi="Times New Roman" w:cs="Times New Roman"/>
          <w:lang w:eastAsia="zh-CN"/>
        </w:rPr>
        <w:t>，</w:t>
      </w:r>
      <w:r>
        <w:rPr>
          <w:rFonts w:hint="eastAsia" w:cs="Times New Roman"/>
          <w:lang w:val="en-US" w:eastAsia="zh-CN"/>
        </w:rPr>
        <w:t>法</w:t>
      </w:r>
      <w:r>
        <w:rPr>
          <w:rFonts w:hint="default" w:ascii="Times New Roman" w:hAnsi="Times New Roman" w:cs="Times New Roman"/>
        </w:rPr>
        <w:t>学理论</w:t>
      </w:r>
      <w:r>
        <w:rPr>
          <w:rFonts w:hint="eastAsia" w:cs="Times New Roman"/>
          <w:lang w:eastAsia="zh-CN"/>
        </w:rPr>
        <w:t>，</w:t>
      </w:r>
      <w:r>
        <w:rPr>
          <w:rFonts w:hint="default" w:ascii="Times New Roman" w:hAnsi="Times New Roman" w:cs="Times New Roman"/>
        </w:rPr>
        <w:t>2014(16):130-132.</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[18]</w:t>
      </w:r>
      <w:r>
        <w:rPr>
          <w:rFonts w:hint="eastAsia" w:cs="Times New Roman"/>
          <w:lang w:val="en-US" w:eastAsia="zh-CN"/>
        </w:rPr>
        <w:t xml:space="preserve"> </w:t>
      </w:r>
      <w:r>
        <w:rPr>
          <w:rFonts w:hint="default" w:ascii="Times New Roman" w:hAnsi="Times New Roman" w:cs="Times New Roman"/>
        </w:rPr>
        <w:t>卢清</w:t>
      </w:r>
      <w:r>
        <w:rPr>
          <w:rFonts w:hint="eastAsia" w:cs="Times New Roman"/>
          <w:lang w:eastAsia="zh-CN"/>
        </w:rPr>
        <w:t>，</w:t>
      </w:r>
      <w:r>
        <w:rPr>
          <w:rFonts w:hint="default" w:ascii="Times New Roman" w:hAnsi="Times New Roman" w:cs="Times New Roman"/>
        </w:rPr>
        <w:t>网络环境下个人信息的民法保护[D]</w:t>
      </w:r>
      <w:r>
        <w:rPr>
          <w:rFonts w:hint="default" w:ascii="Times New Roman" w:hAnsi="Times New Roman" w:cs="Times New Roman"/>
          <w:lang w:eastAsia="zh-CN"/>
        </w:rPr>
        <w:t>，</w:t>
      </w:r>
      <w:r>
        <w:rPr>
          <w:rFonts w:hint="default" w:ascii="Times New Roman" w:hAnsi="Times New Roman" w:cs="Times New Roman"/>
        </w:rPr>
        <w:t>西南政法大学</w:t>
      </w:r>
      <w:r>
        <w:rPr>
          <w:rFonts w:hint="eastAsia" w:cs="Times New Roman"/>
          <w:lang w:eastAsia="zh-CN"/>
        </w:rPr>
        <w:t>，</w:t>
      </w:r>
      <w:r>
        <w:rPr>
          <w:rFonts w:hint="default" w:ascii="Times New Roman" w:hAnsi="Times New Roman" w:cs="Times New Roman"/>
        </w:rPr>
        <w:t>2012.</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[19]</w:t>
      </w:r>
      <w:r>
        <w:rPr>
          <w:rFonts w:hint="eastAsia" w:cs="Times New Roman"/>
          <w:lang w:val="en-US" w:eastAsia="zh-CN"/>
        </w:rPr>
        <w:t xml:space="preserve"> </w:t>
      </w:r>
      <w:r>
        <w:rPr>
          <w:rFonts w:hint="default" w:ascii="Times New Roman" w:hAnsi="Times New Roman" w:cs="Times New Roman"/>
        </w:rPr>
        <w:t>陈淋清</w:t>
      </w:r>
      <w:r>
        <w:rPr>
          <w:rFonts w:hint="eastAsia" w:cs="Times New Roman"/>
          <w:lang w:eastAsia="zh-CN"/>
        </w:rPr>
        <w:t>，</w:t>
      </w:r>
      <w:r>
        <w:rPr>
          <w:rFonts w:hint="default" w:ascii="Times New Roman" w:hAnsi="Times New Roman" w:cs="Times New Roman"/>
        </w:rPr>
        <w:t>我国个人信息权构建的合理性分析[D]</w:t>
      </w:r>
      <w:r>
        <w:rPr>
          <w:rFonts w:hint="default" w:ascii="Times New Roman" w:hAnsi="Times New Roman" w:cs="Times New Roman"/>
          <w:lang w:eastAsia="zh-CN"/>
        </w:rPr>
        <w:t>，</w:t>
      </w:r>
      <w:r>
        <w:rPr>
          <w:rFonts w:hint="default" w:ascii="Times New Roman" w:hAnsi="Times New Roman" w:cs="Times New Roman"/>
        </w:rPr>
        <w:t>华东政法大学</w:t>
      </w:r>
      <w:r>
        <w:rPr>
          <w:rFonts w:hint="eastAsia" w:cs="Times New Roman"/>
          <w:lang w:eastAsia="zh-CN"/>
        </w:rPr>
        <w:t>，</w:t>
      </w:r>
      <w:r>
        <w:rPr>
          <w:rFonts w:hint="default" w:ascii="Times New Roman" w:hAnsi="Times New Roman" w:cs="Times New Roman"/>
        </w:rPr>
        <w:t>2014.</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[20]</w:t>
      </w:r>
      <w:r>
        <w:rPr>
          <w:rFonts w:hint="eastAsia" w:cs="Times New Roman"/>
          <w:lang w:val="en-US" w:eastAsia="zh-CN"/>
        </w:rPr>
        <w:t xml:space="preserve"> </w:t>
      </w:r>
      <w:r>
        <w:rPr>
          <w:rFonts w:hint="default" w:ascii="Times New Roman" w:hAnsi="Times New Roman" w:cs="Times New Roman"/>
        </w:rPr>
        <w:t>于威</w:t>
      </w:r>
      <w:r>
        <w:rPr>
          <w:rFonts w:hint="eastAsia" w:cs="Times New Roman"/>
          <w:lang w:eastAsia="zh-CN"/>
        </w:rPr>
        <w:t>，</w:t>
      </w:r>
      <w:r>
        <w:rPr>
          <w:rFonts w:hint="default" w:ascii="Times New Roman" w:hAnsi="Times New Roman" w:cs="Times New Roman"/>
        </w:rPr>
        <w:t>云计算背景下个人信息保护的立法研究[D]</w:t>
      </w:r>
      <w:r>
        <w:rPr>
          <w:rFonts w:hint="default" w:ascii="Times New Roman" w:hAnsi="Times New Roman" w:cs="Times New Roman"/>
          <w:lang w:eastAsia="zh-CN"/>
        </w:rPr>
        <w:t>，</w:t>
      </w:r>
      <w:r>
        <w:rPr>
          <w:rFonts w:hint="default" w:ascii="Times New Roman" w:hAnsi="Times New Roman" w:cs="Times New Roman"/>
        </w:rPr>
        <w:t>大连理工大学</w:t>
      </w:r>
      <w:r>
        <w:rPr>
          <w:rFonts w:hint="eastAsia" w:cs="Times New Roman"/>
          <w:lang w:eastAsia="zh-CN"/>
        </w:rPr>
        <w:t>，</w:t>
      </w:r>
      <w:r>
        <w:rPr>
          <w:rFonts w:hint="default" w:ascii="Times New Roman" w:hAnsi="Times New Roman" w:cs="Times New Roman"/>
        </w:rPr>
        <w:t>2015.</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hint="default" w:ascii="Times New Roman" w:hAnsi="Times New Roman" w:cs="Times New Roman"/>
        </w:rPr>
      </w:pPr>
      <w:r>
        <w:rPr>
          <w:rFonts w:hint="default" w:ascii="Times New Roman" w:hAnsi="Times New Roman" w:cs="Times New Roman"/>
        </w:rPr>
        <w:t>[21]</w:t>
      </w:r>
      <w:r>
        <w:rPr>
          <w:rFonts w:hint="eastAsia" w:cs="Times New Roman"/>
          <w:lang w:val="en-US" w:eastAsia="zh-CN"/>
        </w:rPr>
        <w:t xml:space="preserve"> </w:t>
      </w:r>
      <w:r>
        <w:rPr>
          <w:rFonts w:hint="default" w:ascii="Times New Roman" w:hAnsi="Times New Roman" w:cs="Times New Roman"/>
        </w:rPr>
        <w:t>梁莎莎</w:t>
      </w:r>
      <w:r>
        <w:rPr>
          <w:rFonts w:hint="eastAsia" w:cs="Times New Roman"/>
          <w:lang w:eastAsia="zh-CN"/>
        </w:rPr>
        <w:t>，</w:t>
      </w:r>
      <w:r>
        <w:rPr>
          <w:rFonts w:hint="default" w:ascii="Times New Roman" w:hAnsi="Times New Roman" w:cs="Times New Roman"/>
        </w:rPr>
        <w:t>中美个人信息保护立法比较研究[D]</w:t>
      </w:r>
      <w:r>
        <w:rPr>
          <w:rFonts w:hint="default" w:ascii="Times New Roman" w:hAnsi="Times New Roman" w:cs="Times New Roman"/>
          <w:lang w:eastAsia="zh-CN"/>
        </w:rPr>
        <w:t>，</w:t>
      </w:r>
      <w:r>
        <w:rPr>
          <w:rFonts w:hint="default" w:ascii="Times New Roman" w:hAnsi="Times New Roman" w:cs="Times New Roman"/>
        </w:rPr>
        <w:t>新疆大学</w:t>
      </w:r>
      <w:r>
        <w:rPr>
          <w:rFonts w:hint="eastAsia" w:cs="Times New Roman"/>
          <w:lang w:eastAsia="zh-CN"/>
        </w:rPr>
        <w:t>，</w:t>
      </w:r>
      <w:r>
        <w:rPr>
          <w:rFonts w:hint="default" w:ascii="Times New Roman" w:hAnsi="Times New Roman" w:cs="Times New Roman"/>
        </w:rPr>
        <w:t>2015.</w:t>
      </w:r>
    </w:p>
    <w:p>
      <w:pPr>
        <w:keepNext w:val="0"/>
        <w:keepLines w:val="0"/>
        <w:pageBreakBefore w:val="0"/>
        <w:widowControl w:val="0"/>
        <w:kinsoku/>
        <w:wordWrap/>
        <w:overflowPunct/>
        <w:topLinePunct w:val="0"/>
        <w:autoSpaceDE/>
        <w:autoSpaceDN/>
        <w:bidi w:val="0"/>
        <w:adjustRightInd/>
        <w:snapToGrid/>
        <w:spacing w:line="264" w:lineRule="auto"/>
        <w:ind w:right="0" w:rightChars="0"/>
        <w:jc w:val="both"/>
        <w:textAlignment w:val="auto"/>
        <w:outlineLvl w:val="9"/>
        <w:rPr>
          <w:rFonts w:hint="eastAsia" w:ascii="Times New Roman" w:hAnsi="Times New Roman" w:cs="Times New Roman"/>
          <w:sz w:val="21"/>
          <w:szCs w:val="21"/>
          <w:lang w:val="en-US" w:eastAsia="zh-CN"/>
        </w:rPr>
      </w:pPr>
      <w:r>
        <w:rPr>
          <w:rFonts w:hint="eastAsia" w:cs="Times New Roman"/>
          <w:sz w:val="21"/>
          <w:szCs w:val="21"/>
          <w:lang w:val="en-US" w:eastAsia="zh-CN"/>
        </w:rPr>
        <w:t xml:space="preserve">                                                            </w:t>
      </w:r>
      <w:r>
        <w:rPr>
          <w:rFonts w:hint="eastAsia" w:ascii="Times New Roman" w:hAnsi="Times New Roman" w:cs="Times New Roman"/>
          <w:sz w:val="21"/>
          <w:szCs w:val="21"/>
          <w:lang w:val="en-US" w:eastAsia="zh-CN"/>
        </w:rPr>
        <w:t xml:space="preserve">（责任编辑： </w:t>
      </w:r>
      <w:r>
        <w:rPr>
          <w:rFonts w:hint="eastAsia" w:cs="Times New Roman"/>
          <w:sz w:val="21"/>
          <w:szCs w:val="21"/>
          <w:lang w:val="en-US" w:eastAsia="zh-CN"/>
        </w:rPr>
        <w:t>张学敏</w:t>
      </w:r>
      <w:r>
        <w:rPr>
          <w:rFonts w:hint="eastAsia" w:ascii="Times New Roman" w:hAnsi="Times New Roman" w:cs="Times New Roman"/>
          <w:sz w:val="21"/>
          <w:szCs w:val="21"/>
          <w:lang w:val="en-US" w:eastAsia="zh-CN"/>
        </w:rPr>
        <w:t>）</w:t>
      </w:r>
    </w:p>
    <w:p>
      <w:pPr>
        <w:keepNext w:val="0"/>
        <w:keepLines w:val="0"/>
        <w:pageBreakBefore w:val="0"/>
        <w:kinsoku/>
        <w:wordWrap/>
        <w:overflowPunct/>
        <w:topLinePunct w:val="0"/>
        <w:autoSpaceDE/>
        <w:autoSpaceDN/>
        <w:bidi w:val="0"/>
        <w:spacing w:line="240" w:lineRule="auto"/>
        <w:jc w:val="center"/>
        <w:textAlignment w:val="auto"/>
        <w:rPr>
          <w:rFonts w:hint="eastAsia" w:ascii="黑体" w:hAnsi="宋体" w:eastAsia="黑体"/>
          <w:b/>
          <w:sz w:val="32"/>
          <w:szCs w:val="32"/>
        </w:rPr>
      </w:pPr>
      <w:r>
        <w:rPr>
          <w:rFonts w:hint="eastAsia" w:ascii="黑体" w:hAnsi="宋体" w:eastAsia="黑体"/>
          <w:b/>
          <w:sz w:val="32"/>
          <w:szCs w:val="32"/>
        </w:rPr>
        <w:t>网络舆论恶性现象的行政法干预探析</w:t>
      </w:r>
    </w:p>
    <w:p>
      <w:pPr>
        <w:keepNext w:val="0"/>
        <w:keepLines w:val="0"/>
        <w:pageBreakBefore w:val="0"/>
        <w:kinsoku/>
        <w:wordWrap/>
        <w:overflowPunct/>
        <w:topLinePunct w:val="0"/>
        <w:autoSpaceDE/>
        <w:autoSpaceDN/>
        <w:bidi w:val="0"/>
        <w:spacing w:line="240" w:lineRule="auto"/>
        <w:jc w:val="center"/>
        <w:textAlignment w:val="auto"/>
        <w:rPr>
          <w:rFonts w:hint="eastAsia" w:ascii="黑体" w:hAnsi="宋体" w:eastAsia="黑体"/>
          <w:b/>
          <w:sz w:val="21"/>
          <w:szCs w:val="21"/>
        </w:rPr>
      </w:pPr>
    </w:p>
    <w:p>
      <w:pPr>
        <w:keepNext w:val="0"/>
        <w:keepLines w:val="0"/>
        <w:pageBreakBefore w:val="0"/>
        <w:kinsoku/>
        <w:wordWrap/>
        <w:overflowPunct/>
        <w:topLinePunct w:val="0"/>
        <w:autoSpaceDE/>
        <w:autoSpaceDN/>
        <w:bidi w:val="0"/>
        <w:spacing w:line="240" w:lineRule="auto"/>
        <w:jc w:val="center"/>
        <w:textAlignment w:val="auto"/>
        <w:rPr>
          <w:rFonts w:ascii="楷体_GB2312" w:eastAsia="楷体_GB2312"/>
          <w:sz w:val="28"/>
        </w:rPr>
      </w:pPr>
      <w:r>
        <w:rPr>
          <w:rFonts w:hint="eastAsia" w:ascii="宋体" w:hAnsi="宋体"/>
          <w:szCs w:val="21"/>
        </w:rPr>
        <w:t>吴明熠</w:t>
      </w:r>
      <w:r>
        <w:rPr>
          <w:rStyle w:val="12"/>
          <w:rFonts w:ascii="Times New Roman" w:hAnsi="Times New Roman"/>
        </w:rPr>
        <w:t>*</w:t>
      </w:r>
    </w:p>
    <w:p>
      <w:pPr>
        <w:keepNext w:val="0"/>
        <w:keepLines w:val="0"/>
        <w:pageBreakBefore w:val="0"/>
        <w:kinsoku/>
        <w:wordWrap/>
        <w:overflowPunct/>
        <w:topLinePunct w:val="0"/>
        <w:autoSpaceDE/>
        <w:autoSpaceDN/>
        <w:bidi w:val="0"/>
        <w:spacing w:line="240" w:lineRule="auto"/>
        <w:ind w:firstLine="420" w:firstLineChars="200"/>
        <w:jc w:val="center"/>
        <w:textAlignment w:val="auto"/>
        <w:rPr>
          <w:rFonts w:ascii="宋体"/>
          <w:color w:val="FF0000"/>
          <w:szCs w:val="21"/>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楷体_GB2312" w:hAnsi="宋体" w:eastAsia="楷体_GB2312"/>
          <w:sz w:val="21"/>
          <w:szCs w:val="21"/>
        </w:rPr>
      </w:pPr>
      <w:r>
        <w:rPr>
          <w:rFonts w:hint="eastAsia" w:ascii="宋体" w:hAnsi="宋体"/>
          <w:b/>
          <w:sz w:val="21"/>
          <w:szCs w:val="21"/>
        </w:rPr>
        <w:t>摘</w:t>
      </w:r>
      <w:r>
        <w:rPr>
          <w:rFonts w:ascii="宋体" w:hAnsi="宋体"/>
          <w:b/>
          <w:sz w:val="21"/>
          <w:szCs w:val="21"/>
        </w:rPr>
        <w:t xml:space="preserve">  </w:t>
      </w:r>
      <w:r>
        <w:rPr>
          <w:rFonts w:hint="eastAsia" w:ascii="宋体" w:hAnsi="宋体"/>
          <w:b/>
          <w:sz w:val="21"/>
          <w:szCs w:val="21"/>
        </w:rPr>
        <w:t>要</w:t>
      </w:r>
      <w:r>
        <w:rPr>
          <w:rFonts w:hint="eastAsia" w:ascii="宋体" w:hAnsi="宋体"/>
          <w:sz w:val="21"/>
          <w:szCs w:val="21"/>
        </w:rPr>
        <w:t>：</w:t>
      </w:r>
      <w:r>
        <w:rPr>
          <w:rFonts w:hint="eastAsia" w:ascii="楷体" w:hAnsi="楷体" w:eastAsia="楷体"/>
          <w:sz w:val="21"/>
          <w:szCs w:val="21"/>
        </w:rPr>
        <w:t>互联网信息时代的当下，网络舆论也随之兴起。作为新兴</w:t>
      </w:r>
      <w:r>
        <w:rPr>
          <w:rFonts w:hint="eastAsia" w:ascii="宋体" w:hAnsi="宋体"/>
          <w:sz w:val="21"/>
          <w:szCs w:val="21"/>
        </w:rPr>
        <w:t>舆</w:t>
      </w:r>
      <w:r>
        <w:rPr>
          <w:rFonts w:hint="eastAsia" w:ascii="楷体" w:hAnsi="楷体" w:eastAsia="楷体"/>
          <w:sz w:val="21"/>
          <w:szCs w:val="21"/>
        </w:rPr>
        <w:t>论方式的出现，在其快速发展的进程中，因现阶段国内干预模式的不完善，加上网络平台自身制度设计的合理性欠缺，进而缺乏正确的引导，其非理性化、情绪化等天然弊端也日益显露，导致网路舆论恶性现象的泛滥。由于刑法、民法等其他部门法律立法稳定性的特点，与网络信息的高速发展变化并不相匹配，难以起到很好的干预效果，而行政法设定下的行政权具有活跃性以及易操作调整性等特点，在网络舆论恶性现象的干预上具备天然优势。本文基于在针对网络舆论恶性现象的行政发干预的现状问题分析上，对进一步完善行政法对其的干预提出建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楷体" w:hAnsi="楷体" w:eastAsia="楷体"/>
          <w:sz w:val="21"/>
          <w:szCs w:val="21"/>
        </w:rPr>
      </w:pPr>
      <w:r>
        <w:rPr>
          <w:rFonts w:hint="eastAsia" w:ascii="宋体" w:hAnsi="宋体"/>
          <w:b/>
          <w:sz w:val="21"/>
          <w:szCs w:val="21"/>
        </w:rPr>
        <w:t>关键词</w:t>
      </w:r>
      <w:r>
        <w:rPr>
          <w:rFonts w:hint="eastAsia" w:ascii="宋体" w:hAnsi="宋体"/>
          <w:sz w:val="21"/>
          <w:szCs w:val="21"/>
        </w:rPr>
        <w:t>：</w:t>
      </w:r>
      <w:r>
        <w:rPr>
          <w:rFonts w:hint="eastAsia" w:ascii="楷体" w:hAnsi="楷体" w:eastAsia="楷体"/>
          <w:sz w:val="21"/>
          <w:szCs w:val="21"/>
        </w:rPr>
        <w:t>网络舆论恶性现象</w:t>
      </w:r>
      <w:r>
        <w:rPr>
          <w:rFonts w:hint="eastAsia" w:ascii="楷体" w:hAnsi="楷体" w:eastAsia="楷体"/>
          <w:sz w:val="21"/>
          <w:szCs w:val="21"/>
          <w:lang w:val="en-US" w:eastAsia="zh-CN"/>
        </w:rPr>
        <w:t xml:space="preserve">  </w:t>
      </w:r>
      <w:r>
        <w:rPr>
          <w:rFonts w:hint="eastAsia" w:ascii="楷体" w:hAnsi="楷体" w:eastAsia="楷体"/>
          <w:sz w:val="21"/>
          <w:szCs w:val="21"/>
        </w:rPr>
        <w:t>行政法干预</w:t>
      </w:r>
      <w:r>
        <w:rPr>
          <w:rFonts w:hint="eastAsia" w:ascii="楷体" w:hAnsi="楷体" w:eastAsia="楷体"/>
          <w:sz w:val="21"/>
          <w:szCs w:val="21"/>
          <w:lang w:val="en-US" w:eastAsia="zh-CN"/>
        </w:rPr>
        <w:t xml:space="preserve">  </w:t>
      </w:r>
      <w:r>
        <w:rPr>
          <w:rFonts w:hint="eastAsia" w:ascii="楷体" w:hAnsi="楷体" w:eastAsia="楷体"/>
          <w:sz w:val="21"/>
          <w:szCs w:val="21"/>
        </w:rPr>
        <w:t>完善建议</w:t>
      </w:r>
    </w:p>
    <w:p>
      <w:pPr>
        <w:keepNext w:val="0"/>
        <w:keepLines w:val="0"/>
        <w:pageBreakBefore w:val="0"/>
        <w:kinsoku/>
        <w:wordWrap/>
        <w:overflowPunct/>
        <w:topLinePunct w:val="0"/>
        <w:autoSpaceDE/>
        <w:autoSpaceDN/>
        <w:bidi w:val="0"/>
        <w:spacing w:line="240" w:lineRule="auto"/>
        <w:jc w:val="center"/>
        <w:textAlignment w:val="auto"/>
      </w:pPr>
    </w:p>
    <w:p>
      <w:pPr>
        <w:keepNext w:val="0"/>
        <w:keepLines w:val="0"/>
        <w:pageBreakBefore w:val="0"/>
        <w:kinsoku/>
        <w:wordWrap/>
        <w:overflowPunct/>
        <w:topLinePunct w:val="0"/>
        <w:autoSpaceDE/>
        <w:autoSpaceDN/>
        <w:bidi w:val="0"/>
        <w:spacing w:line="240" w:lineRule="auto"/>
        <w:jc w:val="center"/>
        <w:textAlignment w:val="auto"/>
        <w:rPr>
          <w:rFonts w:hint="eastAsia"/>
        </w:rPr>
      </w:pPr>
      <w:r>
        <w:rPr>
          <w:rFonts w:hint="eastAsia" w:ascii="黑体" w:hAnsi="黑体" w:eastAsia="黑体"/>
          <w:b/>
          <w:sz w:val="28"/>
          <w:szCs w:val="28"/>
        </w:rPr>
        <w:t>引言</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pPr>
      <w:r>
        <w:rPr>
          <w:rFonts w:hint="eastAsia"/>
        </w:rPr>
        <w:t>根据中国互联网络信息中心（</w:t>
      </w:r>
      <w:r>
        <w:t>CNNIC</w:t>
      </w:r>
      <w:r>
        <w:rPr>
          <w:rFonts w:hint="eastAsia"/>
        </w:rPr>
        <w:t>）发布的第</w:t>
      </w:r>
      <w:r>
        <w:t>37</w:t>
      </w:r>
      <w:r>
        <w:rPr>
          <w:rFonts w:hint="eastAsia"/>
        </w:rPr>
        <w:t>次《中国互联网络发展状况统计报告》（以下简称为《报告》）显示，截至</w:t>
      </w:r>
      <w:r>
        <w:t>2015</w:t>
      </w:r>
      <w:r>
        <w:rPr>
          <w:rFonts w:hint="eastAsia"/>
        </w:rPr>
        <w:t>年</w:t>
      </w:r>
      <w:r>
        <w:t>12</w:t>
      </w:r>
      <w:r>
        <w:rPr>
          <w:rFonts w:hint="eastAsia"/>
        </w:rPr>
        <w:t>月，中国网民规模达到</w:t>
      </w:r>
      <w:r>
        <w:t>6.88</w:t>
      </w:r>
      <w:r>
        <w:rPr>
          <w:rFonts w:hint="eastAsia"/>
        </w:rPr>
        <w:t>亿，互联网普及率达到</w:t>
      </w:r>
      <w:r>
        <w:t>50.3%</w:t>
      </w:r>
      <w:r>
        <w:rPr>
          <w:rFonts w:hint="eastAsia"/>
        </w:rPr>
        <w:t>，中国居民上网人数已过半。其中，</w:t>
      </w:r>
      <w:r>
        <w:t>2015</w:t>
      </w:r>
      <w:r>
        <w:rPr>
          <w:rFonts w:hint="eastAsia"/>
        </w:rPr>
        <w:t>年新增网民</w:t>
      </w:r>
      <w:r>
        <w:t>3951</w:t>
      </w:r>
      <w:r>
        <w:rPr>
          <w:rFonts w:hint="eastAsia"/>
        </w:rPr>
        <w:t>万人，增长率为</w:t>
      </w:r>
      <w:r>
        <w:t>6.1%</w:t>
      </w:r>
      <w:r>
        <w:rPr>
          <w:rFonts w:hint="eastAsia"/>
        </w:rPr>
        <w:t>，较</w:t>
      </w:r>
      <w:r>
        <w:t>2014</w:t>
      </w:r>
      <w:r>
        <w:rPr>
          <w:rFonts w:hint="eastAsia"/>
        </w:rPr>
        <w:t>年提升</w:t>
      </w:r>
      <w:r>
        <w:t>1.1</w:t>
      </w:r>
      <w:r>
        <w:rPr>
          <w:rFonts w:hint="eastAsia"/>
        </w:rPr>
        <w:t>个百分点。《报告》同时显示，网民的上网设备正在向手机端集中，我国手机网民规模达</w:t>
      </w:r>
      <w:r>
        <w:t>6.20</w:t>
      </w:r>
      <w:r>
        <w:rPr>
          <w:rFonts w:hint="eastAsia"/>
        </w:rPr>
        <w:t>亿，有</w:t>
      </w:r>
      <w:r>
        <w:t>90.1%</w:t>
      </w:r>
      <w:r>
        <w:rPr>
          <w:rFonts w:hint="eastAsia"/>
        </w:rPr>
        <w:t>的网民通过手机上网。</w:t>
      </w:r>
      <w:r>
        <w:rPr>
          <w:rStyle w:val="12"/>
          <w:rFonts w:ascii="Times New Roman" w:hAnsi="Times New Roman"/>
          <w:sz w:val="18"/>
        </w:rPr>
        <w:t>[</w:t>
      </w:r>
      <w:r>
        <w:rPr>
          <w:rStyle w:val="12"/>
          <w:rFonts w:ascii="Times New Roman" w:hAnsi="Times New Roman"/>
          <w:sz w:val="18"/>
        </w:rPr>
        <w:footnoteReference w:id="45"/>
      </w:r>
      <w:r>
        <w:rPr>
          <w:rStyle w:val="12"/>
          <w:rFonts w:ascii="Times New Roman" w:hAnsi="Times New Roman"/>
          <w:sz w:val="18"/>
        </w:rPr>
        <w:t>]</w:t>
      </w:r>
      <w:r>
        <w:rPr>
          <w:rFonts w:hint="eastAsia"/>
        </w:rPr>
        <w:t>根据报告的数据调查，不难发现互联网媒介在当下已然超越传统媒介（如电视、报纸等）成为人们主流传播信息的渠道。随着网络信息化的普及，“网络舆论”逐步浮现在人们眼前并越发地频繁。但“网络舆论”作为中介帮助人们更直观地认识世界的同时也日益凸显了其“锋锐”的负面影响，即“网络舆论”无法传递客观、真实、理性的信息反而会引起较大范围跨度的恶性影响，小至个人权利利益，大至司法裁判、行政管理，甚至全社会动乱混乱。</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r>
        <w:rPr>
          <w:rFonts w:hint="eastAsia"/>
        </w:rPr>
        <w:t>纵观互联网发展以来，需要法律进行规制干预的网络舆论恶性现象可分为以下几类：网络暴力型舆论、虚假或误导性网络谣言、不当政治性网络言论、淫秽色情类舆论信息。所列几类网络舆论都会给国家、社会、政府以及个人带来不同程度的威胁。立足于现阶段我国网络舆论立法现状，对于网络舆论恶性现象的规制主要以刑法、民法为主，但各部门法规制干预的方式不同，因而其效果也不尽相同，笔者认为，由于刑法、民法对于网络负面舆论规制的滞后性，其干预效果并不明显，而历史因素造就了我国行政的主导地位，在兼顾比例原则、公共利益等原则的前提下，行政机关主动干预网络舆论恶性现象具有最直接的效果，鉴于我国关于干预网络舆论恶性现象的行政立法匮乏的现状，对完善网络舆论的行政法干预的探究具有重要的现实意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rPr>
      </w:pPr>
    </w:p>
    <w:p>
      <w:pPr>
        <w:keepNext w:val="0"/>
        <w:keepLines w:val="0"/>
        <w:pageBreakBefore w:val="0"/>
        <w:kinsoku/>
        <w:wordWrap/>
        <w:overflowPunct/>
        <w:topLinePunct w:val="0"/>
        <w:autoSpaceDE/>
        <w:autoSpaceDN/>
        <w:bidi w:val="0"/>
        <w:spacing w:line="240" w:lineRule="auto"/>
        <w:ind w:firstLine="420"/>
        <w:jc w:val="center"/>
        <w:textAlignment w:val="auto"/>
        <w:rPr>
          <w:rFonts w:hint="eastAsia" w:ascii="宋体" w:hAnsi="宋体"/>
          <w:b/>
          <w:sz w:val="24"/>
          <w:szCs w:val="24"/>
        </w:rPr>
      </w:pPr>
      <w:r>
        <w:rPr>
          <w:rFonts w:hint="eastAsia" w:ascii="黑体" w:hAnsi="黑体" w:eastAsia="黑体"/>
          <w:b/>
          <w:sz w:val="28"/>
          <w:szCs w:val="28"/>
          <w:lang w:val="en-US" w:eastAsia="zh-CN"/>
        </w:rPr>
        <w:t>一、</w:t>
      </w:r>
      <w:r>
        <w:rPr>
          <w:rFonts w:hint="eastAsia" w:ascii="黑体" w:hAnsi="黑体" w:eastAsia="黑体"/>
          <w:b/>
          <w:sz w:val="28"/>
          <w:szCs w:val="28"/>
        </w:rPr>
        <w:t>网络舆论</w:t>
      </w:r>
      <w:r>
        <w:rPr>
          <w:rFonts w:hint="eastAsia" w:ascii="黑体" w:hAnsi="宋体" w:eastAsia="黑体"/>
          <w:b/>
          <w:sz w:val="28"/>
          <w:szCs w:val="32"/>
        </w:rPr>
        <w:t>恶性现象</w:t>
      </w:r>
      <w:r>
        <w:rPr>
          <w:rFonts w:hint="eastAsia" w:ascii="黑体" w:hAnsi="黑体" w:eastAsia="黑体"/>
          <w:b/>
          <w:sz w:val="28"/>
          <w:szCs w:val="28"/>
        </w:rPr>
        <w:t>的相关内涵分析</w:t>
      </w:r>
      <w:bookmarkStart w:id="0" w:name="_Toc418708352"/>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both"/>
        <w:textAlignment w:val="auto"/>
        <w:outlineLvl w:val="1"/>
        <w:rPr>
          <w:rFonts w:ascii="宋体"/>
          <w:sz w:val="24"/>
          <w:szCs w:val="24"/>
        </w:rPr>
      </w:pPr>
      <w:r>
        <w:rPr>
          <w:rFonts w:hint="eastAsia" w:ascii="宋体" w:hAnsi="宋体"/>
          <w:b/>
          <w:sz w:val="24"/>
          <w:szCs w:val="24"/>
        </w:rPr>
        <w:t>（一）网络舆论的</w:t>
      </w:r>
      <w:bookmarkEnd w:id="0"/>
      <w:r>
        <w:rPr>
          <w:rFonts w:hint="eastAsia" w:ascii="宋体" w:hAnsi="宋体"/>
          <w:b/>
          <w:sz w:val="24"/>
          <w:szCs w:val="24"/>
        </w:rPr>
        <w:t>特征及其恶化的成因分析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rPr>
          <w:b w:val="0"/>
          <w:bCs/>
        </w:rPr>
      </w:pPr>
      <w:r>
        <w:rPr>
          <w:rFonts w:ascii="宋体" w:hAnsi="宋体"/>
          <w:b w:val="0"/>
          <w:bCs/>
        </w:rPr>
        <w:t xml:space="preserve">1. </w:t>
      </w:r>
      <w:r>
        <w:rPr>
          <w:rFonts w:hint="eastAsia" w:ascii="宋体" w:hAnsi="宋体"/>
          <w:b w:val="0"/>
          <w:bCs/>
        </w:rPr>
        <w:t>网络舆论的特征</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pPr>
      <w:r>
        <w:rPr>
          <w:rFonts w:hint="eastAsia"/>
        </w:rPr>
        <w:t>罗马尼亚剧作家奥·巴琅格曾这样描述舆论：他是个奇怪的人物，你可以在任何时间、所有地方遇到他，他无所不知，无所不察，什么事情也休想逃过他的眼睛，什么人也骗不了他。舆论似乎有无数的眼睛、无数的耳朵、无数的唇舌，他无时无刻不在包围着人们的思想和行为。</w:t>
      </w:r>
      <w:r>
        <w:rPr>
          <w:rStyle w:val="12"/>
          <w:rFonts w:ascii="Times New Roman" w:hAnsi="Times New Roman"/>
          <w:sz w:val="18"/>
        </w:rPr>
        <w:t>[</w:t>
      </w:r>
      <w:r>
        <w:rPr>
          <w:rStyle w:val="12"/>
          <w:rFonts w:ascii="Times New Roman" w:hAnsi="Times New Roman"/>
          <w:sz w:val="18"/>
        </w:rPr>
        <w:footnoteReference w:id="46"/>
      </w:r>
      <w:r>
        <w:rPr>
          <w:rStyle w:val="12"/>
          <w:rFonts w:ascii="Times New Roman" w:hAnsi="Times New Roman"/>
          <w:sz w:val="18"/>
        </w:rPr>
        <w:t>]</w:t>
      </w:r>
      <w:r>
        <w:rPr>
          <w:rFonts w:hint="eastAsia"/>
        </w:rPr>
        <w:t>而当下新型的网络载体赋予了他完全不同于传统载体的显著特征：</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pPr>
      <w:r>
        <w:rPr>
          <w:rFonts w:hint="eastAsia" w:ascii="宋体" w:hAnsi="宋体"/>
        </w:rPr>
        <w:t>（</w:t>
      </w:r>
      <w:r>
        <w:rPr>
          <w:rFonts w:ascii="宋体" w:hAnsi="宋体"/>
        </w:rPr>
        <w:t>1</w:t>
      </w:r>
      <w:r>
        <w:rPr>
          <w:rFonts w:hint="eastAsia" w:ascii="宋体" w:hAnsi="宋体"/>
        </w:rPr>
        <w:t>）</w:t>
      </w:r>
      <w:r>
        <w:rPr>
          <w:rFonts w:hint="eastAsia"/>
        </w:rPr>
        <w:t>传播成本较低，言论自由</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pPr>
      <w:r>
        <w:rPr>
          <w:rFonts w:hint="eastAsia"/>
        </w:rPr>
        <w:t>新型网络媒介的应运而生，显著地降低了人们进入信息“公共空间”的门槛，网络言论的高度开放性如今已深远地影响了人们信息交流的方式</w:t>
      </w:r>
      <w:r>
        <w:t>——</w:t>
      </w:r>
      <w:r>
        <w:rPr>
          <w:rFonts w:hint="eastAsia"/>
        </w:rPr>
        <w:t>从传统的单方面输入输出转变为多元化的信息交换，每个人都成为了信息的传播者，都是网络舆论的参与者。低成本、高效率的言论及传播渠道，使得每个人都可以充分地参与到事件的讨论中来，每个人都享有平等自由地抒发自己想法的权利。</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pPr>
      <w:r>
        <w:rPr>
          <w:rFonts w:hint="eastAsia"/>
        </w:rPr>
        <w:t>（</w:t>
      </w:r>
      <w:r>
        <w:t>2</w:t>
      </w:r>
      <w:r>
        <w:rPr>
          <w:rFonts w:hint="eastAsia"/>
        </w:rPr>
        <w:t>）主体身份隐匿，真假难辨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pPr>
      <w:r>
        <w:rPr>
          <w:rFonts w:hint="eastAsia"/>
        </w:rPr>
        <w:t>虚拟的网络环境下，为达到“畅所欲言”的效果，网络主体大多选择采用了匿名制，正是由于网名身份的隐匿性，舆论主体的责任感降低，言论更加大胆，导致两个极端：一是无比忠实于自己内心进行客观地陈述，另则大胆编造谎言、谣言博取大众的眼球。</w:t>
      </w:r>
      <w:r>
        <w:rPr>
          <w:rStyle w:val="12"/>
          <w:rFonts w:ascii="Times New Roman" w:hAnsi="Times New Roman"/>
          <w:sz w:val="18"/>
        </w:rPr>
        <w:t>[</w:t>
      </w:r>
      <w:r>
        <w:rPr>
          <w:rStyle w:val="12"/>
          <w:rFonts w:ascii="Times New Roman" w:hAnsi="Times New Roman"/>
          <w:sz w:val="18"/>
        </w:rPr>
        <w:footnoteReference w:id="47"/>
      </w:r>
      <w:r>
        <w:rPr>
          <w:rStyle w:val="12"/>
          <w:rFonts w:ascii="Times New Roman" w:hAnsi="Times New Roman"/>
          <w:sz w:val="18"/>
        </w:rPr>
        <w:t>]</w:t>
      </w:r>
      <w:r>
        <w:rPr>
          <w:rFonts w:hint="eastAsia"/>
        </w:rPr>
        <w:t>每个人对话语权的享有，不可避免地导致了网络信息的零散化、多元化，再加上主体身份的隐匿性，无法准确的认知网络主体的利益导向，最终造就了网络舆论真实性难以辨别的特性。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pPr>
      <w:r>
        <w:rPr>
          <w:rFonts w:hint="eastAsia"/>
        </w:rPr>
        <w:t>（</w:t>
      </w:r>
      <w:r>
        <w:t>3</w:t>
      </w:r>
      <w:r>
        <w:rPr>
          <w:rFonts w:hint="eastAsia"/>
        </w:rPr>
        <w:t>）网络意识多元，冲突难控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pPr>
      <w:r>
        <w:rPr>
          <w:rFonts w:hint="eastAsia"/>
        </w:rPr>
        <w:t>“把关人”的消失，地域、环境等天然屏障的不复存在，基数庞大的网络主体发表着各式的网络言论，多样的观点汇集在网络媒介之中，逐步形成多元的意识形态，网络言论常常具有个体化倾向，具有个人情绪化思想，随着网络的传播扩散，在具有相同利益诉求的群体之间容易形成意识合流，相比于传统媒介信息交换的滞后性，由群体意识合流演变为网络舆论的效率要高得多。然而，几乎没有任何限制的言论思想难免会对具有强烈地域性的传统伦理思想产生一定的冲击，另外，基数庞大并高效传播的网络舆论，不论是在其萌芽亦或是传播阶段都是难以控制和把握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rPr>
          <w:b w:val="0"/>
          <w:bCs/>
        </w:rPr>
      </w:pPr>
      <w:r>
        <w:rPr>
          <w:rFonts w:ascii="宋体" w:hAnsi="宋体"/>
          <w:b w:val="0"/>
          <w:bCs/>
        </w:rPr>
        <w:t>2.</w:t>
      </w:r>
      <w:r>
        <w:rPr>
          <w:rFonts w:hint="eastAsia"/>
          <w:b w:val="0"/>
          <w:bCs/>
        </w:rPr>
        <w:t>网络舆论恶化的成因分析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pPr>
      <w:r>
        <w:rPr>
          <w:rFonts w:hint="eastAsia"/>
        </w:rPr>
        <w:t>（</w:t>
      </w:r>
      <w:r>
        <w:t>1</w:t>
      </w:r>
      <w:r>
        <w:rPr>
          <w:rFonts w:hint="eastAsia"/>
        </w:rPr>
        <w:t>）利益诉求渠道的滥用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pPr>
      <w:r>
        <w:rPr>
          <w:rFonts w:hint="eastAsia"/>
        </w:rPr>
        <w:t>集虚拟、多元、难控等特征于一身的网络舆论，一改人们在传统媒介中的舆论接受者的角色，而向舆论的发布者、传播者转变，“把关人”等限制的不复存在，使得人们不断被压抑的而无从表达的诉求最终在网络这个“公共空间”中得到肆意的发泄。但随着改革经济的发展，贫富差距也在不断拉大，社会矛盾日益显著，社会中既得利益者与弱势群体的分层也伴随而生。网络作为一个开放包容的媒介平台，且具有身份的隐匿性，便自然地成为愤慨或不满者非理性和情绪化表达的空间，并经高效的传播，在仇富仇官、埋怨社会不公氛围下生存的群体中短期内形成群体合意，演变为网络舆论后，伴随着“羊群效应”</w:t>
      </w:r>
      <w:r>
        <w:rPr>
          <w:rStyle w:val="12"/>
          <w:rFonts w:ascii="Times New Roman" w:hAnsi="Times New Roman"/>
          <w:sz w:val="18"/>
        </w:rPr>
        <w:t>[</w:t>
      </w:r>
      <w:r>
        <w:rPr>
          <w:rStyle w:val="12"/>
          <w:rFonts w:ascii="Times New Roman" w:hAnsi="Times New Roman"/>
          <w:sz w:val="18"/>
        </w:rPr>
        <w:footnoteReference w:id="48"/>
      </w:r>
      <w:r>
        <w:rPr>
          <w:rStyle w:val="12"/>
          <w:rFonts w:ascii="Times New Roman" w:hAnsi="Times New Roman"/>
          <w:sz w:val="18"/>
        </w:rPr>
        <w:t>]</w:t>
      </w:r>
      <w:r>
        <w:rPr>
          <w:rFonts w:hint="eastAsia"/>
        </w:rPr>
        <w:t>在网络中愈演愈烈，舆论挟持着民意向着极端化发展，在社会中导致了“群体极化”现象的产生</w:t>
      </w:r>
      <w:r>
        <w:t>——</w:t>
      </w:r>
      <w:r>
        <w:rPr>
          <w:rFonts w:hint="eastAsia"/>
        </w:rPr>
        <w:t>凡是涉及“官富二代”、“社会不公”等相关词汇的事件，更容易被贴上标签，从开始便带着偏见看待事件，成为一致抨击甚至造谣的对象。如</w:t>
      </w:r>
      <w:r>
        <w:t>2010</w:t>
      </w:r>
      <w:r>
        <w:rPr>
          <w:rFonts w:hint="eastAsia"/>
        </w:rPr>
        <w:t>年“李启铭案”</w:t>
      </w:r>
      <w:r>
        <w:rPr>
          <w:rStyle w:val="12"/>
          <w:rFonts w:ascii="Times New Roman" w:hAnsi="Times New Roman"/>
          <w:sz w:val="18"/>
        </w:rPr>
        <w:t>[</w:t>
      </w:r>
      <w:r>
        <w:rPr>
          <w:rStyle w:val="12"/>
          <w:rFonts w:ascii="Times New Roman" w:hAnsi="Times New Roman"/>
          <w:sz w:val="18"/>
        </w:rPr>
        <w:footnoteReference w:id="49"/>
      </w:r>
      <w:r>
        <w:rPr>
          <w:rStyle w:val="12"/>
          <w:rFonts w:ascii="Times New Roman" w:hAnsi="Times New Roman"/>
          <w:sz w:val="18"/>
        </w:rPr>
        <w:t>]</w:t>
      </w:r>
      <w:r>
        <w:rPr>
          <w:rFonts w:hint="eastAsia"/>
        </w:rPr>
        <w:t>发生后，网络舆论纷纷出现了对李启铭官二代背景的谣言，进一步激发了群众的“仇官”心理，在社会中营造了“官民分立”氛围。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pPr>
      <w:r>
        <w:rPr>
          <w:rFonts w:hint="eastAsia"/>
        </w:rPr>
        <w:t>（</w:t>
      </w:r>
      <w:r>
        <w:t>2</w:t>
      </w:r>
      <w:r>
        <w:rPr>
          <w:rFonts w:hint="eastAsia"/>
        </w:rPr>
        <w:t>）群众猎奇心理的满足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pPr>
      <w:r>
        <w:rPr>
          <w:rFonts w:hint="eastAsia"/>
        </w:rPr>
        <w:t>网络信息多元化的同时也造成了网络信息的碎片化和无序化，然而信息泛滥的环境下，哗众取宠、标新立异的信息往往会得到高效的传播。互联网推动下的眼球经济</w:t>
      </w:r>
      <w:r>
        <w:rPr>
          <w:rStyle w:val="12"/>
          <w:rFonts w:ascii="Times New Roman" w:hAnsi="Times New Roman"/>
          <w:sz w:val="18"/>
        </w:rPr>
        <w:t>[</w:t>
      </w:r>
      <w:r>
        <w:rPr>
          <w:rStyle w:val="12"/>
          <w:rFonts w:ascii="Times New Roman" w:hAnsi="Times New Roman"/>
          <w:sz w:val="18"/>
        </w:rPr>
        <w:footnoteReference w:id="50"/>
      </w:r>
      <w:r>
        <w:rPr>
          <w:rStyle w:val="12"/>
          <w:rFonts w:ascii="Times New Roman" w:hAnsi="Times New Roman"/>
          <w:sz w:val="18"/>
        </w:rPr>
        <w:t>]</w:t>
      </w:r>
      <w:r>
        <w:rPr>
          <w:rFonts w:hint="eastAsia"/>
        </w:rPr>
        <w:t>时代，不乏网络服务商基于对利益的追逐，借助夺人眼球的煽动性标题来赚取网站的浏览点击率，而对传播内容不进行严谨地把关，甚至捏造虚假信息进行故意炒作。正如马克思在《资本论》中所谈到的，资本如果有百分之五十的利润，它就会铤而走险，如果有百分之百的利润，它就敢践踏人间一切法律，如果有百分之三百的利润，它就敢犯下任何罪行，甚至冒着被绞死的危险。人们常常对于符合自身兴趣倾向和利益需求的信息进行吸收，个人思想在网络公共领域中形成群体合意后渐渐导致非理性和情绪化，最终走向偏执和专横。如古斯塔夫·勒庞在《乌合之众</w:t>
      </w:r>
      <w:r>
        <w:t xml:space="preserve">: </w:t>
      </w:r>
      <w:r>
        <w:rPr>
          <w:rFonts w:hint="eastAsia"/>
        </w:rPr>
        <w:t>大众心理研究》中所说的当人们聚集到一起时，他们的情感思路都会走向同一方向，生成一种集体心理，这使得每个人的个性消退，他们会因为某种狂躁的感情而聚在一起，而风暴过后，他们就会恢复成恭顺而安静的公民。群体中的人们失去了自我的概念，更多地表现为集体从众的意识，同时，网络服务商在利益的驱使下，为满足人们的猎奇心理而不择手段制造网络舆论，不进行正确的引导，任由恶性舆论传播，对社会的和谐稳定构成隐患。</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both"/>
        <w:textAlignment w:val="auto"/>
        <w:rPr>
          <w:rFonts w:ascii="宋体"/>
          <w:b/>
          <w:sz w:val="24"/>
          <w:szCs w:val="24"/>
        </w:rPr>
      </w:pPr>
      <w:r>
        <w:rPr>
          <w:rFonts w:hint="eastAsia" w:ascii="宋体" w:hAnsi="宋体"/>
          <w:b/>
          <w:sz w:val="24"/>
          <w:szCs w:val="24"/>
        </w:rPr>
        <w:t>（二）网络舆论恶性现象的现实表现形式</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rPr>
          <w:b w:val="0"/>
          <w:bCs/>
        </w:rPr>
      </w:pPr>
      <w:r>
        <w:rPr>
          <w:rFonts w:ascii="宋体" w:hAnsi="宋体"/>
          <w:b w:val="0"/>
          <w:bCs/>
        </w:rPr>
        <w:t>1.</w:t>
      </w:r>
      <w:r>
        <w:rPr>
          <w:b w:val="0"/>
          <w:bCs/>
        </w:rPr>
        <w:t xml:space="preserve"> </w:t>
      </w:r>
      <w:r>
        <w:rPr>
          <w:rFonts w:hint="eastAsia" w:ascii="宋体" w:hAnsi="宋体"/>
          <w:b w:val="0"/>
          <w:bCs/>
        </w:rPr>
        <w:t>网络暴力型舆论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pPr>
      <w:r>
        <w:rPr>
          <w:rFonts w:hint="eastAsia"/>
        </w:rPr>
        <w:t>网络暴力作为新型的暴力模式，指的是带有侮辱性、诽谤性、煽动性以及攻击性的网络舆论恶性现象，相比于现实中对人直接造成身体伤害的暴力行为，往往是对当事人进行名誉侵害，间接对其产生身体损害。主要表现为发表针对性的失实谣言以及进行非理性的人肉搜索，对当事人的个人隐私权造成直接的侵害。近年来网络暴力事件屡见不鲜，从</w:t>
      </w:r>
      <w:r>
        <w:t>2006</w:t>
      </w:r>
      <w:r>
        <w:rPr>
          <w:rFonts w:hint="eastAsia"/>
        </w:rPr>
        <w:t>年“女子虐猫”事件</w:t>
      </w:r>
      <w:r>
        <w:rPr>
          <w:rStyle w:val="12"/>
          <w:rFonts w:ascii="Times New Roman" w:hAnsi="Times New Roman"/>
          <w:sz w:val="18"/>
        </w:rPr>
        <w:t>[</w:t>
      </w:r>
      <w:r>
        <w:rPr>
          <w:rStyle w:val="12"/>
          <w:rFonts w:ascii="Times New Roman" w:hAnsi="Times New Roman"/>
          <w:sz w:val="18"/>
        </w:rPr>
        <w:footnoteReference w:id="51"/>
      </w:r>
      <w:r>
        <w:rPr>
          <w:rStyle w:val="12"/>
          <w:rFonts w:ascii="Times New Roman" w:hAnsi="Times New Roman"/>
          <w:sz w:val="18"/>
        </w:rPr>
        <w:t>]</w:t>
      </w:r>
      <w:r>
        <w:rPr>
          <w:rFonts w:hint="eastAsia"/>
        </w:rPr>
        <w:t>，到</w:t>
      </w:r>
      <w:r>
        <w:t>2008</w:t>
      </w:r>
      <w:r>
        <w:rPr>
          <w:rFonts w:hint="eastAsia"/>
        </w:rPr>
        <w:t>年“艳照门”事件，再到</w:t>
      </w:r>
      <w:r>
        <w:t>14</w:t>
      </w:r>
      <w:r>
        <w:rPr>
          <w:rFonts w:hint="eastAsia"/>
        </w:rPr>
        <w:t>年“爸爸</w:t>
      </w:r>
      <w:r>
        <w:t>2</w:t>
      </w:r>
      <w:r>
        <w:rPr>
          <w:rFonts w:hint="eastAsia"/>
        </w:rPr>
        <w:t>贝儿”事件</w:t>
      </w:r>
      <w:r>
        <w:rPr>
          <w:rStyle w:val="12"/>
          <w:rFonts w:ascii="Times New Roman" w:hAnsi="Times New Roman"/>
          <w:sz w:val="18"/>
        </w:rPr>
        <w:t>[</w:t>
      </w:r>
      <w:r>
        <w:rPr>
          <w:rStyle w:val="12"/>
          <w:rFonts w:ascii="Times New Roman" w:hAnsi="Times New Roman"/>
          <w:sz w:val="18"/>
        </w:rPr>
        <w:footnoteReference w:id="52"/>
      </w:r>
      <w:r>
        <w:rPr>
          <w:rStyle w:val="12"/>
          <w:rFonts w:ascii="Times New Roman" w:hAnsi="Times New Roman"/>
          <w:sz w:val="18"/>
        </w:rPr>
        <w:t>]</w:t>
      </w:r>
      <w:r>
        <w:rPr>
          <w:rFonts w:hint="eastAsia"/>
        </w:rPr>
        <w:t>、</w:t>
      </w:r>
      <w:r>
        <w:t>15</w:t>
      </w:r>
      <w:r>
        <w:rPr>
          <w:rFonts w:hint="eastAsia"/>
        </w:rPr>
        <w:t>年“成都女司机”事件</w:t>
      </w:r>
      <w:r>
        <w:rPr>
          <w:rStyle w:val="12"/>
          <w:rFonts w:ascii="Times New Roman" w:hAnsi="Times New Roman"/>
          <w:sz w:val="18"/>
        </w:rPr>
        <w:t>[</w:t>
      </w:r>
      <w:r>
        <w:rPr>
          <w:rStyle w:val="12"/>
          <w:rFonts w:ascii="Times New Roman" w:hAnsi="Times New Roman"/>
          <w:sz w:val="18"/>
        </w:rPr>
        <w:footnoteReference w:id="53"/>
      </w:r>
      <w:r>
        <w:rPr>
          <w:rStyle w:val="12"/>
          <w:rFonts w:ascii="Times New Roman" w:hAnsi="Times New Roman"/>
          <w:sz w:val="18"/>
        </w:rPr>
        <w:t>]</w:t>
      </w:r>
      <w:r>
        <w:rPr>
          <w:rFonts w:hint="eastAsia"/>
        </w:rPr>
        <w:t>，网络的恶意侵害事件愈演愈烈，非理性的情绪化心理驾驭在网络文明和道德之上，在网络的公共空间里几乎不受限制地施加暴力。正如部分学者所说的，他们打着维护道德的大旗，行践踏道德之实，以暴制暴，公布他人的隐私，践踏他人尊严，侮辱他人人格，甚至威胁他人的生命财产安全，使当事人处在巨大舆论压力之下，严重干扰当事人的正常生活。</w:t>
      </w:r>
      <w:r>
        <w:rPr>
          <w:rStyle w:val="12"/>
          <w:rFonts w:ascii="Times New Roman" w:hAnsi="Times New Roman"/>
          <w:sz w:val="18"/>
        </w:rPr>
        <w:t>[</w:t>
      </w:r>
      <w:r>
        <w:rPr>
          <w:rStyle w:val="12"/>
          <w:rFonts w:ascii="Times New Roman" w:hAnsi="Times New Roman"/>
          <w:sz w:val="18"/>
        </w:rPr>
        <w:footnoteReference w:id="54"/>
      </w:r>
      <w:r>
        <w:rPr>
          <w:rStyle w:val="12"/>
          <w:rFonts w:ascii="Times New Roman" w:hAnsi="Times New Roman"/>
          <w:sz w:val="18"/>
        </w:rPr>
        <w:t>]</w:t>
      </w:r>
      <w:r>
        <w:rPr>
          <w:rFonts w:hint="eastAsia"/>
        </w:rPr>
        <w:t>网络暴力的出现，与网络的匿名制、网媒的商业运作、缺乏制度道德文明约束都是具有极大关联的。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rPr>
          <w:rFonts w:ascii="宋体"/>
          <w:b w:val="0"/>
          <w:bCs/>
        </w:rPr>
      </w:pPr>
      <w:r>
        <w:rPr>
          <w:rFonts w:ascii="宋体" w:hAnsi="宋体"/>
          <w:b w:val="0"/>
          <w:bCs/>
        </w:rPr>
        <w:t>2.</w:t>
      </w:r>
      <w:r>
        <w:rPr>
          <w:b w:val="0"/>
          <w:bCs/>
        </w:rPr>
        <w:t xml:space="preserve"> </w:t>
      </w:r>
      <w:r>
        <w:rPr>
          <w:rFonts w:hint="eastAsia" w:ascii="宋体" w:hAnsi="宋体"/>
          <w:b w:val="0"/>
          <w:bCs/>
        </w:rPr>
        <w:t>虚假或误导性网络谣言</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pPr>
      <w:r>
        <w:rPr>
          <w:rFonts w:hint="eastAsia"/>
        </w:rPr>
        <w:t>网络舆论本质上属于虚拟言论，极易受操纵而导致虚假和诱导，也大大降低了其客观真实性，为缺乏事实依据的带有针对目的性的网络谣言的滋生创造了有利土壤。部分网络媒介在利益驱使下借谣牟利，即借助夸张放大的标题和内容吸引大量网民传播，达到一定量后再通过企业广告的投放收费生财</w:t>
      </w:r>
      <w:r>
        <w:rPr>
          <w:rStyle w:val="12"/>
          <w:rFonts w:ascii="Times New Roman" w:hAnsi="Times New Roman"/>
          <w:sz w:val="18"/>
        </w:rPr>
        <w:t>[</w:t>
      </w:r>
      <w:r>
        <w:rPr>
          <w:rStyle w:val="12"/>
          <w:rFonts w:ascii="Times New Roman" w:hAnsi="Times New Roman"/>
          <w:sz w:val="18"/>
        </w:rPr>
        <w:footnoteReference w:id="55"/>
      </w:r>
      <w:r>
        <w:rPr>
          <w:rStyle w:val="12"/>
          <w:rFonts w:ascii="Times New Roman" w:hAnsi="Times New Roman"/>
          <w:sz w:val="18"/>
        </w:rPr>
        <w:t>]</w:t>
      </w:r>
      <w:r>
        <w:rPr>
          <w:rFonts w:hint="eastAsia"/>
        </w:rPr>
        <w:t>，最终导致网络媒介转变为了失实谣言的“放大器”。在个人层面上，误导性网络谣言往往最直观地导致个人名誉权的侵害，</w:t>
      </w:r>
      <w:r>
        <w:t>2011</w:t>
      </w:r>
      <w:r>
        <w:rPr>
          <w:rFonts w:hint="eastAsia"/>
        </w:rPr>
        <w:t>年“性学硕导讲座”事件</w:t>
      </w:r>
      <w:r>
        <w:rPr>
          <w:rStyle w:val="12"/>
          <w:rFonts w:ascii="Times New Roman" w:hAnsi="Times New Roman"/>
          <w:sz w:val="18"/>
        </w:rPr>
        <w:t>[</w:t>
      </w:r>
      <w:r>
        <w:rPr>
          <w:rStyle w:val="12"/>
          <w:rFonts w:ascii="Times New Roman" w:hAnsi="Times New Roman"/>
          <w:sz w:val="18"/>
        </w:rPr>
        <w:footnoteReference w:id="56"/>
      </w:r>
      <w:r>
        <w:rPr>
          <w:rStyle w:val="12"/>
          <w:rFonts w:ascii="Times New Roman" w:hAnsi="Times New Roman"/>
          <w:sz w:val="18"/>
        </w:rPr>
        <w:t>]</w:t>
      </w:r>
      <w:r>
        <w:rPr>
          <w:rFonts w:hint="eastAsia"/>
        </w:rPr>
        <w:t>后，媒体的歪曲报道在网络上激起了无数人对华中师大彭晓辉副教授的谩骂之声，对其名誉造成了严重损害；在市场竞争上，虚假的网络谣言导致恶性竞争局面的产生，损害企业、消费者利益。如今的产业竞争已刺刀见红，一定程度上也导致了对竞争对手谣言攻势的不断催生。如</w:t>
      </w:r>
      <w:r>
        <w:t>2015</w:t>
      </w:r>
      <w:r>
        <w:rPr>
          <w:rFonts w:hint="eastAsia"/>
        </w:rPr>
        <w:t>年“哇哈哈肉毒杆菌”事件</w:t>
      </w:r>
      <w:r>
        <w:rPr>
          <w:rStyle w:val="12"/>
          <w:rFonts w:ascii="Times New Roman" w:hAnsi="Times New Roman"/>
          <w:sz w:val="18"/>
        </w:rPr>
        <w:t>[</w:t>
      </w:r>
      <w:r>
        <w:rPr>
          <w:rStyle w:val="12"/>
          <w:rFonts w:ascii="Times New Roman" w:hAnsi="Times New Roman"/>
          <w:sz w:val="18"/>
        </w:rPr>
        <w:footnoteReference w:id="57"/>
      </w:r>
      <w:r>
        <w:rPr>
          <w:rStyle w:val="12"/>
          <w:rFonts w:ascii="Times New Roman" w:hAnsi="Times New Roman"/>
          <w:sz w:val="18"/>
        </w:rPr>
        <w:t>]</w:t>
      </w:r>
      <w:r>
        <w:rPr>
          <w:rFonts w:hint="eastAsia"/>
        </w:rPr>
        <w:t>，官方就公开表示，“仅</w:t>
      </w:r>
      <w:r>
        <w:t>2015</w:t>
      </w:r>
      <w:r>
        <w:rPr>
          <w:rFonts w:hint="eastAsia"/>
        </w:rPr>
        <w:t>年第一季度，部分产品就遭受</w:t>
      </w:r>
      <w:r>
        <w:t>20</w:t>
      </w:r>
      <w:r>
        <w:rPr>
          <w:rFonts w:hint="eastAsia"/>
        </w:rPr>
        <w:t>亿元损失。”再有“六翅肯德基怪鸡”事件、“农夫山泉水污染”事件等谣言竞争事件比比皆是，但在虚假市场信息四起的今天，最终导致的是消费者的信息混淆、利益受损；网络谣言更甚者，故意制造假新闻，激起民众与政府间的矛盾，借助社会热点影响社会安定，如</w:t>
      </w:r>
      <w:r>
        <w:t>2013</w:t>
      </w:r>
      <w:r>
        <w:rPr>
          <w:rFonts w:hint="eastAsia"/>
        </w:rPr>
        <w:t>年日本核泄漏，因“盐中碘元素防辐射”的谣言，一度导致国内食用盐的抢购，后因专家辟谣才得以平息；网络谣言的司法干扰性更受人瞩目，“邓玉娇”案</w:t>
      </w:r>
      <w:r>
        <w:rPr>
          <w:rStyle w:val="12"/>
          <w:rFonts w:ascii="Times New Roman" w:hAnsi="Times New Roman"/>
          <w:sz w:val="18"/>
        </w:rPr>
        <w:t>[</w:t>
      </w:r>
      <w:r>
        <w:rPr>
          <w:rStyle w:val="12"/>
          <w:rFonts w:ascii="Times New Roman" w:hAnsi="Times New Roman"/>
          <w:sz w:val="18"/>
        </w:rPr>
        <w:footnoteReference w:id="58"/>
      </w:r>
      <w:r>
        <w:rPr>
          <w:rStyle w:val="12"/>
          <w:rFonts w:ascii="Times New Roman" w:hAnsi="Times New Roman"/>
          <w:sz w:val="18"/>
        </w:rPr>
        <w:t>]</w:t>
      </w:r>
      <w:r>
        <w:rPr>
          <w:rFonts w:hint="eastAsia"/>
        </w:rPr>
        <w:t>便是舆论审判的典型事例。</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rPr>
          <w:b w:val="0"/>
          <w:bCs/>
        </w:rPr>
      </w:pPr>
      <w:r>
        <w:rPr>
          <w:rFonts w:ascii="宋体" w:hAnsi="宋体"/>
          <w:b w:val="0"/>
          <w:bCs/>
        </w:rPr>
        <w:t>3</w:t>
      </w:r>
      <w:r>
        <w:rPr>
          <w:rFonts w:ascii="宋体"/>
          <w:b w:val="0"/>
          <w:bCs/>
        </w:rPr>
        <w:t>.</w:t>
      </w:r>
      <w:r>
        <w:rPr>
          <w:b w:val="0"/>
          <w:bCs/>
        </w:rPr>
        <w:t xml:space="preserve"> </w:t>
      </w:r>
      <w:r>
        <w:rPr>
          <w:rFonts w:hint="eastAsia"/>
          <w:b w:val="0"/>
          <w:bCs/>
        </w:rPr>
        <w:t>不当政治性网络言论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pPr>
      <w:r>
        <w:rPr>
          <w:rFonts w:hint="eastAsia"/>
        </w:rPr>
        <w:t>从一般意义上理解政治性言论，是指有关阶级利益、民族、国家关系以及</w:t>
      </w:r>
      <w:r>
        <w:rPr>
          <w:rStyle w:val="16"/>
          <w:rFonts w:hint="eastAsia"/>
        </w:rPr>
        <w:t>由政府推行的、在各种社会活动中占主要地位的活动等内容的言论</w:t>
      </w:r>
      <w:r>
        <w:rPr>
          <w:rFonts w:hint="eastAsia"/>
        </w:rPr>
        <w:t>。反之可推导出不当政治言论，即不利于上述内容的言论。近年来，受个别反动团体的诱导，各式反动、分裂国家、挑拨民族关系的网络言论层出不穷</w:t>
      </w:r>
      <w:r>
        <w:rPr>
          <w:rStyle w:val="12"/>
          <w:rFonts w:ascii="Times New Roman" w:hAnsi="Times New Roman"/>
          <w:sz w:val="18"/>
        </w:rPr>
        <w:t>[</w:t>
      </w:r>
      <w:r>
        <w:rPr>
          <w:rStyle w:val="12"/>
          <w:rFonts w:ascii="Times New Roman" w:hAnsi="Times New Roman"/>
          <w:sz w:val="18"/>
        </w:rPr>
        <w:footnoteReference w:id="59"/>
      </w:r>
      <w:r>
        <w:rPr>
          <w:rStyle w:val="12"/>
          <w:rFonts w:ascii="Times New Roman" w:hAnsi="Times New Roman"/>
          <w:sz w:val="18"/>
        </w:rPr>
        <w:t>]</w:t>
      </w:r>
      <w:r>
        <w:rPr>
          <w:rFonts w:hint="eastAsia"/>
        </w:rPr>
        <w:t>，干扰了网络政治舆论的正常秩序，更直接影响了国家的公信力。不当政治性的网络言论，一方面直接干扰着社会的和谐稳定，另一方面由于网络传播的广泛性和高效性，亟需得到全面的规制。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rPr>
          <w:b w:val="0"/>
          <w:bCs/>
        </w:rPr>
      </w:pPr>
      <w:r>
        <w:rPr>
          <w:rFonts w:ascii="宋体" w:hAnsi="宋体"/>
          <w:b w:val="0"/>
          <w:bCs/>
        </w:rPr>
        <w:t>4</w:t>
      </w:r>
      <w:r>
        <w:rPr>
          <w:rFonts w:ascii="宋体"/>
          <w:b w:val="0"/>
          <w:bCs/>
        </w:rPr>
        <w:t>.</w:t>
      </w:r>
      <w:r>
        <w:rPr>
          <w:b w:val="0"/>
          <w:bCs/>
        </w:rPr>
        <w:t xml:space="preserve"> </w:t>
      </w:r>
      <w:r>
        <w:rPr>
          <w:rFonts w:hint="eastAsia"/>
          <w:b w:val="0"/>
          <w:bCs/>
        </w:rPr>
        <w:t>淫秽色情类舆论信息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both"/>
        <w:textAlignment w:val="auto"/>
        <w:rPr>
          <w:rFonts w:hint="eastAsia"/>
        </w:rPr>
      </w:pPr>
      <w:r>
        <w:rPr>
          <w:rFonts w:hint="eastAsia"/>
        </w:rPr>
        <w:t>淫秽色情类舆论信息作为影响网络环境最大的因素之一，对未成年人的身心损害、社会文化环境的毒化以及对社会主义精神文明建设的破坏等危害不言而喻。主要体现为显性和隐性淫秽色情类舆论信息。显性淫秽色情类舆论信息指的是公开在网络公共空间中营造色情正常化的舆论风潮</w:t>
      </w:r>
      <w:r>
        <w:rPr>
          <w:rStyle w:val="12"/>
          <w:rFonts w:ascii="Times New Roman" w:hAnsi="Times New Roman"/>
          <w:sz w:val="18"/>
        </w:rPr>
        <w:t>[</w:t>
      </w:r>
      <w:r>
        <w:rPr>
          <w:rStyle w:val="12"/>
          <w:rFonts w:ascii="Times New Roman" w:hAnsi="Times New Roman"/>
          <w:sz w:val="18"/>
        </w:rPr>
        <w:footnoteReference w:id="60"/>
      </w:r>
      <w:r>
        <w:rPr>
          <w:rStyle w:val="12"/>
          <w:rFonts w:ascii="Times New Roman" w:hAnsi="Times New Roman"/>
          <w:sz w:val="18"/>
        </w:rPr>
        <w:t>]</w:t>
      </w:r>
      <w:r>
        <w:rPr>
          <w:rFonts w:hint="eastAsia"/>
        </w:rPr>
        <w:t>，通过传播色情信息、交易各类淫秽出版物获取盈利，并对网络的舆论文明产生直接冲击。而隐性淫秽色情类信息依托着文字、图像等载体，借助着网络媒介，置身于网络舆论中</w:t>
      </w:r>
      <w:r>
        <w:rPr>
          <w:rStyle w:val="12"/>
          <w:rFonts w:ascii="Times New Roman" w:hAnsi="Times New Roman"/>
          <w:sz w:val="18"/>
        </w:rPr>
        <w:t>[</w:t>
      </w:r>
      <w:r>
        <w:rPr>
          <w:rStyle w:val="12"/>
          <w:rFonts w:ascii="Times New Roman" w:hAnsi="Times New Roman"/>
          <w:sz w:val="18"/>
        </w:rPr>
        <w:footnoteReference w:id="61"/>
      </w:r>
      <w:r>
        <w:rPr>
          <w:rStyle w:val="12"/>
          <w:rFonts w:ascii="Times New Roman" w:hAnsi="Times New Roman"/>
          <w:sz w:val="18"/>
        </w:rPr>
        <w:t>]</w:t>
      </w:r>
      <w:r>
        <w:rPr>
          <w:rFonts w:hint="eastAsia"/>
        </w:rPr>
        <w:t>、甚至共存于网络舆论事件中</w:t>
      </w:r>
      <w:r>
        <w:rPr>
          <w:rStyle w:val="12"/>
          <w:rFonts w:ascii="Times New Roman" w:hAnsi="Times New Roman"/>
          <w:sz w:val="18"/>
        </w:rPr>
        <w:t>[</w:t>
      </w:r>
      <w:r>
        <w:rPr>
          <w:rStyle w:val="12"/>
          <w:rFonts w:ascii="Times New Roman" w:hAnsi="Times New Roman"/>
          <w:sz w:val="18"/>
        </w:rPr>
        <w:footnoteReference w:id="62"/>
      </w:r>
      <w:r>
        <w:rPr>
          <w:rStyle w:val="12"/>
          <w:rFonts w:ascii="Times New Roman" w:hAnsi="Times New Roman"/>
          <w:sz w:val="18"/>
        </w:rPr>
        <w:t>]</w:t>
      </w:r>
      <w:r>
        <w:rPr>
          <w:rFonts w:hint="eastAsia"/>
        </w:rPr>
        <w:t>，在利益的考量下诱使淫秽色情类舆论信息的产生，并因网络的广泛即时的传播而泛滥，一方面污染了网络环境，另一方面也对当事人的隐私权造成严重的侵害。</w:t>
      </w:r>
    </w:p>
    <w:p>
      <w:pPr>
        <w:keepNext w:val="0"/>
        <w:keepLines w:val="0"/>
        <w:pageBreakBefore w:val="0"/>
        <w:kinsoku/>
        <w:wordWrap/>
        <w:overflowPunct/>
        <w:topLinePunct w:val="0"/>
        <w:autoSpaceDE/>
        <w:autoSpaceDN/>
        <w:bidi w:val="0"/>
        <w:spacing w:line="240" w:lineRule="auto"/>
        <w:ind w:firstLine="420"/>
        <w:textAlignment w:val="auto"/>
        <w:rPr>
          <w:rFonts w:hint="eastAsia"/>
        </w:rPr>
      </w:pPr>
    </w:p>
    <w:p>
      <w:pPr>
        <w:keepNext w:val="0"/>
        <w:keepLines w:val="0"/>
        <w:pageBreakBefore w:val="0"/>
        <w:kinsoku/>
        <w:wordWrap/>
        <w:overflowPunct/>
        <w:topLinePunct w:val="0"/>
        <w:autoSpaceDE/>
        <w:autoSpaceDN/>
        <w:bidi w:val="0"/>
        <w:spacing w:line="240" w:lineRule="auto"/>
        <w:jc w:val="center"/>
        <w:textAlignment w:val="auto"/>
        <w:rPr>
          <w:rFonts w:hint="eastAsia"/>
        </w:rPr>
      </w:pPr>
      <w:r>
        <w:rPr>
          <w:rFonts w:hint="eastAsia" w:ascii="黑体" w:hAnsi="黑体" w:eastAsia="黑体"/>
          <w:b/>
          <w:sz w:val="28"/>
          <w:szCs w:val="28"/>
          <w:lang w:val="en-US" w:eastAsia="zh-CN"/>
        </w:rPr>
        <w:t>二、</w:t>
      </w:r>
      <w:r>
        <w:rPr>
          <w:rFonts w:hint="eastAsia" w:ascii="黑体" w:hAnsi="黑体" w:eastAsia="黑体"/>
          <w:b/>
          <w:sz w:val="28"/>
          <w:szCs w:val="28"/>
        </w:rPr>
        <w:t>网络舆论恶性现象的行政法干预的必要性分析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pPr>
      <w:r>
        <w:rPr>
          <w:rFonts w:hint="eastAsia"/>
        </w:rPr>
        <w:t>道德的疏导、行业的自律是对于网络舆论自我约束、防止其恶化的第一道防线，但网络舆论的开放性与难控性仍不可避免地导致大量网络舆论恶性现象的产生。当第一道防线被冲破，一个成熟健康的法律制度体系的干预便成了最有力的保障。然而，各部门法的干预都各具局限性，相较下行政法干预具备天然优势，有必要将网络舆论恶性现象的干预主体法律中讨论行政法干预的必要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1"/>
        <w:rPr>
          <w:rFonts w:ascii="宋体"/>
          <w:sz w:val="24"/>
          <w:szCs w:val="24"/>
        </w:rPr>
      </w:pPr>
      <w:r>
        <w:rPr>
          <w:rFonts w:hint="eastAsia" w:ascii="宋体" w:hAnsi="宋体"/>
          <w:b/>
          <w:sz w:val="24"/>
          <w:szCs w:val="24"/>
        </w:rPr>
        <w:t>（一）其他部门法对网络舆论恶性现象的干预现状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rPr>
          <w:rFonts w:hint="eastAsia"/>
        </w:rPr>
      </w:pPr>
      <w:r>
        <w:rPr>
          <w:rFonts w:hint="eastAsia"/>
        </w:rPr>
        <w:t>我国目前网络舆论恶性现象法律规制体系主要是由宪法为指导，民刑为规范主体所构成的。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rPr>
          <w:b w:val="0"/>
          <w:bCs/>
        </w:rPr>
      </w:pPr>
      <w:r>
        <w:rPr>
          <w:b w:val="0"/>
          <w:bCs/>
        </w:rPr>
        <w:t>1.</w:t>
      </w:r>
      <w:r>
        <w:rPr>
          <w:rFonts w:hint="eastAsia"/>
          <w:b w:val="0"/>
          <w:bCs/>
        </w:rPr>
        <w:t>宪法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pPr>
      <w:r>
        <w:rPr>
          <w:rFonts w:hint="eastAsia"/>
        </w:rPr>
        <w:t>宪法作为国家的根本大法，体现着法治的基本思想，保障人权是宪法的一项关键命题。《宪法》第</w:t>
      </w:r>
      <w:r>
        <w:t>35</w:t>
      </w:r>
      <w:r>
        <w:rPr>
          <w:rFonts w:hint="eastAsia"/>
        </w:rPr>
        <w:t>条规定了公民有言论、出版自由，而一个人的自由并不是绝对的，它的界限就在于他人的权利，正如卢梭在《社会契约论》中提出的“人生而自由却无往而不在枷锁中”。《宪法》第</w:t>
      </w:r>
      <w:r>
        <w:t>37</w:t>
      </w:r>
      <w:r>
        <w:rPr>
          <w:rFonts w:hint="eastAsia"/>
        </w:rPr>
        <w:t>条规定：“禁止用任何方法对公民进行侮辱，诽谤和诬告陷害。”国家有保障一个人说话的权利，同时也具有限制其滥用表达自由的义务。然而，宪法的生命在于实施，在我国，宪法具有弱适用性的特征，无法进行直接干预，其效果也主要体现在法的引导上。</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rPr>
          <w:b w:val="0"/>
          <w:bCs/>
        </w:rPr>
      </w:pPr>
      <w:r>
        <w:rPr>
          <w:b w:val="0"/>
          <w:bCs/>
        </w:rPr>
        <w:t>2.</w:t>
      </w:r>
      <w:r>
        <w:rPr>
          <w:rFonts w:hint="eastAsia"/>
          <w:b w:val="0"/>
          <w:bCs/>
        </w:rPr>
        <w:t>刑法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pPr>
      <w:r>
        <w:rPr>
          <w:rFonts w:hint="eastAsia"/>
        </w:rPr>
        <w:t>多数的互联网犯罪都是传统犯罪在网络领域中的体现，因而刑法在法律规制中具有较强的直接干预性，在法律条文中已作出了关于侮辱罪、诽谤罪、煽动分裂国家罪，煽动颠覆政府罪、传播淫秽物品罪等与网络舆论恶性现象相关的罪名的设置，随着网络舆论恶性现象的日益猖獗，</w:t>
      </w:r>
      <w:r>
        <w:t>2013</w:t>
      </w:r>
      <w:r>
        <w:rPr>
          <w:rFonts w:hint="eastAsia"/>
        </w:rPr>
        <w:t>年两院也出台了关于诽谤信息浏览</w:t>
      </w:r>
      <w:r>
        <w:t>5000</w:t>
      </w:r>
      <w:r>
        <w:rPr>
          <w:rFonts w:hint="eastAsia"/>
        </w:rPr>
        <w:t>次以上，或转发</w:t>
      </w:r>
      <w:r>
        <w:t>500</w:t>
      </w:r>
      <w:r>
        <w:rPr>
          <w:rFonts w:hint="eastAsia"/>
        </w:rPr>
        <w:t>次以上应认定为“情节严重”的侮辱、诽谤罪的相关司法解释，但数量稀少的刑法方面的规定，仍在网络舆论恶性现象干预上留下了许多空白，且在犯罪成立要件的认定中与传统犯罪也产生了许多出入，如犯罪主观恶性的认定等等。另一方面，由于刑法的稳定性的要求和罪刑法定的原则，导致刑法无法快速修正以适应快速变化的网络环境。</w:t>
      </w:r>
      <w:r>
        <w:rPr>
          <w:rStyle w:val="12"/>
          <w:rFonts w:ascii="Times New Roman" w:hAnsi="Times New Roman"/>
          <w:sz w:val="18"/>
        </w:rPr>
        <w:t>[</w:t>
      </w:r>
      <w:r>
        <w:rPr>
          <w:rStyle w:val="12"/>
          <w:rFonts w:ascii="Times New Roman" w:hAnsi="Times New Roman"/>
          <w:sz w:val="18"/>
        </w:rPr>
        <w:footnoteReference w:id="63"/>
      </w:r>
      <w:r>
        <w:rPr>
          <w:rStyle w:val="12"/>
          <w:rFonts w:ascii="Times New Roman" w:hAnsi="Times New Roman"/>
          <w:sz w:val="18"/>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rPr>
          <w:b w:val="0"/>
          <w:bCs/>
        </w:rPr>
      </w:pPr>
      <w:r>
        <w:rPr>
          <w:b w:val="0"/>
          <w:bCs/>
        </w:rPr>
        <w:t>3.</w:t>
      </w:r>
      <w:r>
        <w:rPr>
          <w:rFonts w:hint="eastAsia"/>
          <w:b w:val="0"/>
          <w:bCs/>
        </w:rPr>
        <w:t>民法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pPr>
      <w:r>
        <w:rPr>
          <w:rFonts w:hint="eastAsia"/>
        </w:rPr>
        <w:t>网络舆论恶性现象对于公民名誉权、隐私权等民事权利的侵害在《民法通则》及《侵权责任法》中得到了一定的干预，规定了停止侵害、损害赔偿等</w:t>
      </w:r>
      <w:r>
        <w:t>5</w:t>
      </w:r>
      <w:r>
        <w:rPr>
          <w:rFonts w:hint="eastAsia"/>
        </w:rPr>
        <w:t>项民事责任，也在《侵权责任法》第</w:t>
      </w:r>
      <w:r>
        <w:t>36</w:t>
      </w:r>
      <w:r>
        <w:rPr>
          <w:rFonts w:hint="eastAsia"/>
        </w:rPr>
        <w:t>条中专门设定了网络用户、服务提供者的侵权责任，以防止网络舆论恶性现象的扩散。对于恶性市场竞争，《反不正当竞争法》第</w:t>
      </w:r>
      <w:r>
        <w:t>14</w:t>
      </w:r>
      <w:r>
        <w:rPr>
          <w:rFonts w:hint="eastAsia"/>
        </w:rPr>
        <w:t>条规定，经营者不得捏造、散布虚伪事实，损害竞争对手的商业信誉、商品声誉。以预防恶性竞争的发生。但民法的干预手段大多数以事后惩罚为主，而对事前预防的规定十分匮乏，且在调整范围上仍具有不周全性。另外，民法的干预遵循“不告不理”原则，如果受害人的人身、财产、名誉等的损害没有达到一定程度，他们将会出于对诉讼成本的考虑而放弃维权。</w:t>
      </w:r>
      <w:r>
        <w:rPr>
          <w:rStyle w:val="12"/>
          <w:rFonts w:ascii="Times New Roman" w:hAnsi="Times New Roman"/>
          <w:sz w:val="18"/>
        </w:rPr>
        <w:t>[</w:t>
      </w:r>
      <w:r>
        <w:rPr>
          <w:rStyle w:val="12"/>
          <w:rFonts w:ascii="Times New Roman" w:hAnsi="Times New Roman"/>
          <w:sz w:val="18"/>
        </w:rPr>
        <w:footnoteReference w:id="64"/>
      </w:r>
      <w:r>
        <w:rPr>
          <w:rStyle w:val="12"/>
          <w:rFonts w:ascii="Times New Roman" w:hAnsi="Times New Roman"/>
          <w:sz w:val="18"/>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rPr>
          <w:b w:val="0"/>
          <w:bCs/>
        </w:rPr>
      </w:pPr>
      <w:r>
        <w:rPr>
          <w:b w:val="0"/>
          <w:bCs/>
        </w:rPr>
        <w:t>4.</w:t>
      </w:r>
      <w:r>
        <w:rPr>
          <w:rFonts w:hint="eastAsia"/>
          <w:b w:val="0"/>
          <w:bCs/>
        </w:rPr>
        <w:t>其他部门法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pPr>
      <w:r>
        <w:rPr>
          <w:rFonts w:hint="eastAsia"/>
        </w:rPr>
        <w:t>除此之外，其他部门法在网络舆论恶性现象的干预方面，更显得微乎其微。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rPr>
          <w:rFonts w:ascii="宋体"/>
          <w:sz w:val="24"/>
          <w:szCs w:val="24"/>
        </w:rPr>
      </w:pPr>
      <w:r>
        <w:rPr>
          <w:rFonts w:hint="eastAsia" w:ascii="宋体" w:hAnsi="宋体"/>
          <w:b/>
          <w:sz w:val="24"/>
          <w:szCs w:val="24"/>
        </w:rPr>
        <w:t>（二）网络舆论恶性现象的行政法干预的现实需求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pPr>
      <w:r>
        <w:rPr>
          <w:rFonts w:hint="eastAsia"/>
        </w:rPr>
        <w:t>笔者在本文所讨论的行政法干预，指的是广义上的行政法，即行政法律的整体，除狭义的行政六法、具有行政法律效力的解释外还包含行政法规、行政规章、各地方性法规等以及各类行政规范性文件的干预。因而各类行政法表现形式落实为现实中的行政执法行为都应属本文探讨的范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rPr>
          <w:b w:val="0"/>
          <w:bCs/>
        </w:rPr>
      </w:pPr>
      <w:r>
        <w:rPr>
          <w:b w:val="0"/>
          <w:bCs/>
        </w:rPr>
        <w:t>1.</w:t>
      </w:r>
      <w:r>
        <w:rPr>
          <w:rFonts w:hint="eastAsia"/>
          <w:b w:val="0"/>
          <w:bCs/>
        </w:rPr>
        <w:t>对其他部门法干预空白的弥补</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pPr>
      <w:r>
        <w:rPr>
          <w:rFonts w:hint="eastAsia"/>
        </w:rPr>
        <w:t>前文讨论了其他部门法因其立法数量少以及不周全性而产生的干预空白的缺陷。然而，行政法律体系除了狭义法律外还囊括了基数庞大的行政规范性文件，其干预范围可谓其他部门法无可比拟的，对于具有广泛传播性的网络舆论恶性现象，行政法可进行大范围、更全面的干预，相较之下其干预作用效果应最为明显。</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rPr>
          <w:b w:val="0"/>
          <w:bCs/>
        </w:rPr>
      </w:pPr>
      <w:r>
        <w:rPr>
          <w:b w:val="0"/>
          <w:bCs/>
        </w:rPr>
        <w:t>2.</w:t>
      </w:r>
      <w:r>
        <w:rPr>
          <w:rFonts w:hint="eastAsia"/>
          <w:b w:val="0"/>
          <w:bCs/>
        </w:rPr>
        <w:t>对事前预防、事中约束的完善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pPr>
      <w:r>
        <w:rPr>
          <w:rFonts w:hint="eastAsia"/>
        </w:rPr>
        <w:t>现状下法律对网络舆论恶性现象的干预主要体现在事后的干预救济，而事后救济的成本考量和维权的效果输出往往成为当事人的主要矛盾问题。笔者认为，事后救济只因作为网络舆论恶性现象侵权的最后一道防线，而加设事前预防、事中约束这两条防线才更为稳妥。法律的相对稳定性与滞后性与各类行政规范性文件赋予自由裁量权的行政权干预的活跃性形成质差</w:t>
      </w:r>
      <w:r>
        <w:rPr>
          <w:rStyle w:val="12"/>
          <w:rFonts w:ascii="Times New Roman" w:hAnsi="Times New Roman"/>
          <w:sz w:val="18"/>
        </w:rPr>
        <w:t>[</w:t>
      </w:r>
      <w:r>
        <w:rPr>
          <w:rStyle w:val="12"/>
          <w:rFonts w:ascii="Times New Roman" w:hAnsi="Times New Roman"/>
          <w:sz w:val="18"/>
        </w:rPr>
        <w:footnoteReference w:id="65"/>
      </w:r>
      <w:r>
        <w:rPr>
          <w:rStyle w:val="12"/>
          <w:rFonts w:ascii="Times New Roman" w:hAnsi="Times New Roman"/>
          <w:sz w:val="18"/>
        </w:rPr>
        <w:t>]</w:t>
      </w:r>
      <w:r>
        <w:rPr>
          <w:rFonts w:hint="eastAsia"/>
        </w:rPr>
        <w:t>，后者更具备事前预防、事中约束的干预模式，对完善整套网络舆论恶性现象干预体系起到关键性的作用。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rPr>
          <w:b w:val="0"/>
          <w:bCs/>
        </w:rPr>
      </w:pPr>
      <w:r>
        <w:rPr>
          <w:b w:val="0"/>
          <w:bCs/>
        </w:rPr>
        <w:t>3.</w:t>
      </w:r>
      <w:r>
        <w:rPr>
          <w:rFonts w:hint="eastAsia"/>
          <w:b w:val="0"/>
          <w:bCs/>
        </w:rPr>
        <w:t>其他约束力量的薄弱性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rPr>
          <w:rFonts w:hint="eastAsia"/>
        </w:rPr>
      </w:pPr>
      <w:r>
        <w:rPr>
          <w:rFonts w:hint="eastAsia"/>
        </w:rPr>
        <w:t>对于网络舆论恶性现象的干预，行业的自律、民间力量的监督因缺乏强制性而显得较为薄弱，而历史的发展造就我国行政的主导地位，同时相较于其他法律“不告不理”的被动性而言，行政法赋予下的行政权具有主动干涉性和强制性，将行政执法介入网络舆论恶性现象中往往会产生直接显著的干预作用。</w:t>
      </w:r>
    </w:p>
    <w:p>
      <w:pPr>
        <w:keepNext w:val="0"/>
        <w:keepLines w:val="0"/>
        <w:pageBreakBefore w:val="0"/>
        <w:kinsoku/>
        <w:wordWrap/>
        <w:overflowPunct/>
        <w:topLinePunct w:val="0"/>
        <w:autoSpaceDE/>
        <w:autoSpaceDN/>
        <w:bidi w:val="0"/>
        <w:spacing w:line="240" w:lineRule="auto"/>
        <w:ind w:firstLine="420"/>
        <w:textAlignment w:val="auto"/>
        <w:rPr>
          <w:rFonts w:hint="eastAsia"/>
        </w:rPr>
      </w:pPr>
    </w:p>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b/>
          <w:sz w:val="21"/>
          <w:szCs w:val="21"/>
        </w:rPr>
      </w:pPr>
      <w:r>
        <w:rPr>
          <w:rFonts w:hint="eastAsia" w:ascii="黑体" w:hAnsi="黑体" w:eastAsia="黑体"/>
          <w:b/>
          <w:sz w:val="28"/>
          <w:szCs w:val="28"/>
          <w:lang w:val="en-US" w:eastAsia="zh-CN"/>
        </w:rPr>
        <w:t>三、</w:t>
      </w:r>
      <w:r>
        <w:rPr>
          <w:rFonts w:hint="eastAsia" w:ascii="黑体" w:hAnsi="黑体" w:eastAsia="黑体"/>
          <w:b/>
          <w:sz w:val="28"/>
          <w:szCs w:val="28"/>
        </w:rPr>
        <w:t>网络舆论恶性现象的行政法干预的现状问题分析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left"/>
        <w:textAlignment w:val="auto"/>
        <w:outlineLvl w:val="9"/>
        <w:rPr>
          <w:sz w:val="24"/>
          <w:szCs w:val="24"/>
        </w:rPr>
      </w:pPr>
      <w:r>
        <w:rPr>
          <w:rFonts w:hint="eastAsia" w:ascii="宋体" w:hAnsi="宋体"/>
          <w:b/>
          <w:sz w:val="24"/>
          <w:szCs w:val="24"/>
        </w:rPr>
        <w:t>（一）相关行政法干预的现状梳理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b w:val="0"/>
          <w:bCs/>
        </w:rPr>
      </w:pPr>
      <w:r>
        <w:rPr>
          <w:b w:val="0"/>
          <w:bCs/>
        </w:rPr>
        <w:t>1.</w:t>
      </w:r>
      <w:r>
        <w:rPr>
          <w:rFonts w:hint="eastAsia"/>
          <w:b w:val="0"/>
          <w:bCs/>
        </w:rPr>
        <w:t>抽象行政行为干预方面（行政立法）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b w:val="0"/>
          <w:bCs/>
        </w:rPr>
      </w:pPr>
      <w:r>
        <w:rPr>
          <w:rFonts w:hint="eastAsia"/>
        </w:rPr>
        <w:t>随着网络舆论恶性现象所引发的一系列社会问题的日益凸显，国家相继出台了一系列行政法律及解释、行政法令等各类行政法表现形式。共计</w:t>
      </w:r>
      <w:r>
        <w:t>78</w:t>
      </w:r>
      <w:r>
        <w:rPr>
          <w:rFonts w:hint="eastAsia"/>
        </w:rPr>
        <w:t>部的网络行政法律规范中，由全国人大常委会制定的法律和决定</w:t>
      </w:r>
      <w:r>
        <w:t>2</w:t>
      </w:r>
      <w:r>
        <w:rPr>
          <w:rFonts w:hint="eastAsia"/>
        </w:rPr>
        <w:t>部，国务院制定的行政法规</w:t>
      </w:r>
      <w:r>
        <w:t>7</w:t>
      </w:r>
      <w:r>
        <w:rPr>
          <w:rFonts w:hint="eastAsia"/>
        </w:rPr>
        <w:t>部，工业和信息化部等国务院部委制定的部门规章</w:t>
      </w:r>
      <w:r>
        <w:t>47</w:t>
      </w:r>
      <w:r>
        <w:rPr>
          <w:rFonts w:hint="eastAsia"/>
        </w:rPr>
        <w:t>部，国务院及有关部委发布的其他行政规范性文件</w:t>
      </w:r>
      <w:r>
        <w:t>16</w:t>
      </w:r>
      <w:r>
        <w:rPr>
          <w:rFonts w:hint="eastAsia"/>
        </w:rPr>
        <w:t>部，最高人民法院的司法解释</w:t>
      </w:r>
      <w:r>
        <w:t>6</w:t>
      </w:r>
      <w:r>
        <w:rPr>
          <w:rFonts w:hint="eastAsia"/>
        </w:rPr>
        <w:t>部。</w:t>
      </w:r>
      <w:r>
        <w:rPr>
          <w:rStyle w:val="12"/>
          <w:rFonts w:ascii="Times New Roman" w:hAnsi="Times New Roman"/>
          <w:sz w:val="18"/>
        </w:rPr>
        <w:t>[</w:t>
      </w:r>
      <w:r>
        <w:rPr>
          <w:rStyle w:val="12"/>
          <w:rFonts w:ascii="Times New Roman" w:hAnsi="Times New Roman"/>
          <w:sz w:val="18"/>
        </w:rPr>
        <w:footnoteReference w:id="66"/>
      </w:r>
      <w:r>
        <w:rPr>
          <w:rStyle w:val="12"/>
          <w:rFonts w:ascii="Times New Roman" w:hAnsi="Times New Roman"/>
          <w:sz w:val="18"/>
        </w:rPr>
        <w:t>]</w:t>
      </w:r>
      <w:r>
        <w:rPr>
          <w:rFonts w:hint="eastAsia"/>
        </w:rPr>
        <w:t>其中主要包括：全国人大常委会</w:t>
      </w:r>
      <w:r>
        <w:t>2012</w:t>
      </w:r>
      <w:r>
        <w:rPr>
          <w:rFonts w:hint="eastAsia"/>
        </w:rPr>
        <w:t>年颁布的《关于加强网络信息保护的决定》；国务院</w:t>
      </w:r>
      <w:r>
        <w:t>1994</w:t>
      </w:r>
      <w:r>
        <w:rPr>
          <w:rFonts w:hint="eastAsia"/>
        </w:rPr>
        <w:t>年颁布的《计算机信息系统安全保护条例》、</w:t>
      </w:r>
      <w:r>
        <w:t>2009</w:t>
      </w:r>
      <w:r>
        <w:rPr>
          <w:rFonts w:hint="eastAsia"/>
        </w:rPr>
        <w:t>年颁布的《互联网信息服务管理办法》以及近期</w:t>
      </w:r>
      <w:r>
        <w:t>2011</w:t>
      </w:r>
      <w:r>
        <w:rPr>
          <w:rFonts w:hint="eastAsia"/>
        </w:rPr>
        <w:t>年修改的《计算机信息网络国际联网管理暂行规定》、</w:t>
      </w:r>
      <w:r>
        <w:t>2013</w:t>
      </w:r>
      <w:r>
        <w:rPr>
          <w:rFonts w:hint="eastAsia"/>
        </w:rPr>
        <w:t>年修改的《信息网络传播权保护条例》、</w:t>
      </w:r>
      <w:r>
        <w:t>2014</w:t>
      </w:r>
      <w:r>
        <w:rPr>
          <w:rFonts w:hint="eastAsia"/>
        </w:rPr>
        <w:t>年修改的《中华人民共和国电信条例》；工信部</w:t>
      </w:r>
      <w:r>
        <w:t>2005</w:t>
      </w:r>
      <w:r>
        <w:rPr>
          <w:rFonts w:hint="eastAsia"/>
        </w:rPr>
        <w:t>年颁布的《非经营性互联网信息服务备案管理办法》、</w:t>
      </w:r>
      <w:r>
        <w:t>2013</w:t>
      </w:r>
      <w:r>
        <w:rPr>
          <w:rFonts w:hint="eastAsia"/>
        </w:rPr>
        <w:t>年颁布的《电信和互联网用户个人信息保护规定》；公安部</w:t>
      </w:r>
      <w:r>
        <w:t>1997</w:t>
      </w:r>
      <w:r>
        <w:rPr>
          <w:rFonts w:hint="eastAsia"/>
        </w:rPr>
        <w:t>年颁布的《计算机信息网络国际联网安全保护管理办法》等等各级人大、政府出台的对网络舆论进行干预的行政法律文件。除此之外，《治安管理处罚法》、《人民警察法》等传统行政法律也起到了一定的干预作用。从行政法律体系上看已经做了较大的覆盖，包括涉及到网络舆论，从网络舆论监管、网络舆论内容、网络舆论传播主体和非法传播网络舆论的惩治等方面对网络舆论恶性现象进行了干预。</w:t>
      </w:r>
      <w:r>
        <w:rPr>
          <w:rStyle w:val="12"/>
          <w:rFonts w:ascii="Times New Roman" w:hAnsi="Times New Roman"/>
          <w:sz w:val="18"/>
        </w:rPr>
        <w:t>[</w:t>
      </w:r>
      <w:r>
        <w:rPr>
          <w:rStyle w:val="12"/>
          <w:rFonts w:ascii="Times New Roman" w:hAnsi="Times New Roman"/>
          <w:sz w:val="18"/>
        </w:rPr>
        <w:footnoteReference w:id="67"/>
      </w:r>
      <w:r>
        <w:rPr>
          <w:rStyle w:val="12"/>
          <w:rFonts w:ascii="Times New Roman" w:hAnsi="Times New Roman"/>
          <w:sz w:val="18"/>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b w:val="0"/>
          <w:bCs/>
        </w:rPr>
      </w:pPr>
      <w:r>
        <w:rPr>
          <w:b w:val="0"/>
          <w:bCs/>
        </w:rPr>
        <w:t>2.</w:t>
      </w:r>
      <w:r>
        <w:rPr>
          <w:rFonts w:hint="eastAsia"/>
          <w:b w:val="0"/>
          <w:bCs/>
        </w:rPr>
        <w:t>具体行政行为干预方面（行政执法）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对于网络舆论恶性现象的表现形式，国家也采取了相应行政执法行为的积极介入进行行政法上的干预。首先，近年来，国家积极采取罚款等行政处罚方式对非理性“人肉搜索”等网络暴力进行打击，也取得一定的成效；其次，对网络谣言的行政法干预也进行得如火如荼，有学者对涉及</w:t>
      </w:r>
      <w:r>
        <w:t xml:space="preserve"> </w:t>
      </w:r>
      <w:r>
        <w:rPr>
          <w:rFonts w:hint="eastAsia"/>
        </w:rPr>
        <w:t>“网络谣言”的</w:t>
      </w:r>
      <w:r>
        <w:t>80</w:t>
      </w:r>
      <w:r>
        <w:rPr>
          <w:rFonts w:hint="eastAsia"/>
        </w:rPr>
        <w:t>起案件进行过统计，发现其中有</w:t>
      </w:r>
      <w:r>
        <w:t>39</w:t>
      </w:r>
      <w:r>
        <w:rPr>
          <w:rFonts w:hint="eastAsia"/>
        </w:rPr>
        <w:t>起当事人被以扰乱公共秩序为名给予行政拘留，</w:t>
      </w:r>
      <w:r>
        <w:t>19</w:t>
      </w:r>
      <w:r>
        <w:rPr>
          <w:rFonts w:hint="eastAsia"/>
        </w:rPr>
        <w:t>起当事人被罚款训诫或给予其他行政处罚，涉及“网络谣言”而被行政处罚的比例为</w:t>
      </w:r>
      <w:r>
        <w:t>73%</w:t>
      </w:r>
      <w:r>
        <w:rPr>
          <w:rFonts w:hint="eastAsia"/>
        </w:rPr>
        <w:t>。</w:t>
      </w:r>
      <w:r>
        <w:rPr>
          <w:rStyle w:val="12"/>
          <w:rFonts w:ascii="Times New Roman" w:hAnsi="Times New Roman"/>
          <w:sz w:val="18"/>
        </w:rPr>
        <w:t>[</w:t>
      </w:r>
      <w:r>
        <w:rPr>
          <w:rStyle w:val="12"/>
          <w:rFonts w:ascii="Times New Roman" w:hAnsi="Times New Roman"/>
          <w:sz w:val="18"/>
        </w:rPr>
        <w:footnoteReference w:id="68"/>
      </w:r>
      <w:r>
        <w:rPr>
          <w:rStyle w:val="12"/>
          <w:rFonts w:ascii="Times New Roman" w:hAnsi="Times New Roman"/>
          <w:sz w:val="18"/>
        </w:rPr>
        <w:t>]</w:t>
      </w:r>
      <w:r>
        <w:rPr>
          <w:rFonts w:hint="eastAsia"/>
        </w:rPr>
        <w:t>再次，在不当的政治网络言论中，也进行了明令禁止，《互联网电子公告服务管理规定》第</w:t>
      </w:r>
      <w:r>
        <w:t>9</w:t>
      </w:r>
      <w:r>
        <w:rPr>
          <w:rFonts w:hint="eastAsia"/>
        </w:rPr>
        <w:t>条规定：“任何人不得在电子公告服务系统中发布含有下列内容之一的信息：……</w:t>
      </w:r>
      <w:r>
        <w:t>(</w:t>
      </w:r>
      <w:r>
        <w:rPr>
          <w:rFonts w:hint="eastAsia"/>
        </w:rPr>
        <w:t>二</w:t>
      </w:r>
      <w:r>
        <w:t>)</w:t>
      </w:r>
      <w:r>
        <w:rPr>
          <w:rFonts w:hint="eastAsia"/>
        </w:rPr>
        <w:t>危害国家安全，泄露国家秘密，颠覆国家政权，破坏国家统一的；</w:t>
      </w:r>
      <w:r>
        <w:t>(</w:t>
      </w:r>
      <w:r>
        <w:rPr>
          <w:rFonts w:hint="eastAsia"/>
        </w:rPr>
        <w:t>三</w:t>
      </w:r>
      <w:r>
        <w:t>)</w:t>
      </w:r>
      <w:r>
        <w:rPr>
          <w:rFonts w:hint="eastAsia"/>
        </w:rPr>
        <w:t>损害国家荣誉和利益的；</w:t>
      </w:r>
      <w:r>
        <w:t>(</w:t>
      </w:r>
      <w:r>
        <w:rPr>
          <w:rFonts w:hint="eastAsia"/>
        </w:rPr>
        <w:t>四</w:t>
      </w:r>
      <w:r>
        <w:t>)</w:t>
      </w:r>
      <w:r>
        <w:rPr>
          <w:rFonts w:hint="eastAsia"/>
        </w:rPr>
        <w:t>煽动民族仇恨、民族歧视，破坏民族团结的；</w:t>
      </w:r>
      <w:r>
        <w:t>(</w:t>
      </w:r>
      <w:r>
        <w:rPr>
          <w:rFonts w:hint="eastAsia"/>
        </w:rPr>
        <w:t>五</w:t>
      </w:r>
      <w:r>
        <w:t>)</w:t>
      </w:r>
      <w:r>
        <w:rPr>
          <w:rFonts w:hint="eastAsia"/>
        </w:rPr>
        <w:t>破坏国家宗教政策，宣扬邪教和封建迷信的；……并给予行政执法上的充分保障；最后，对于淫秽色情类网络舆论，我国在</w:t>
      </w:r>
      <w:r>
        <w:t>2009</w:t>
      </w:r>
      <w:r>
        <w:rPr>
          <w:rFonts w:hint="eastAsia"/>
        </w:rPr>
        <w:t>年国务院</w:t>
      </w:r>
      <w:r>
        <w:t>9</w:t>
      </w:r>
      <w:r>
        <w:rPr>
          <w:rFonts w:hint="eastAsia"/>
        </w:rPr>
        <w:t>部委联手共同开展了针对互联网媒体淫秽色情以及其他不良信息的专项打击行动。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left"/>
        <w:textAlignment w:val="auto"/>
        <w:outlineLvl w:val="9"/>
        <w:rPr>
          <w:sz w:val="24"/>
          <w:szCs w:val="24"/>
        </w:rPr>
      </w:pPr>
      <w:r>
        <w:rPr>
          <w:rFonts w:hint="eastAsia" w:ascii="宋体" w:hAnsi="宋体"/>
          <w:b/>
          <w:sz w:val="24"/>
          <w:szCs w:val="24"/>
        </w:rPr>
        <w:t>（二）网络舆论恶性现象行政法干预的问题分析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b w:val="0"/>
          <w:bCs/>
        </w:rPr>
      </w:pPr>
      <w:r>
        <w:rPr>
          <w:b w:val="0"/>
          <w:bCs/>
        </w:rPr>
        <w:t>1.</w:t>
      </w:r>
      <w:r>
        <w:rPr>
          <w:rFonts w:hint="eastAsia"/>
          <w:b w:val="0"/>
          <w:bCs/>
        </w:rPr>
        <w:t>抽象行政行为干预方面的缺陷</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w:t>
      </w:r>
      <w:r>
        <w:t>1</w:t>
      </w:r>
      <w:r>
        <w:rPr>
          <w:rFonts w:hint="eastAsia"/>
        </w:rPr>
        <w:t>）缺乏统一的专门行政立法设计</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虽然目前对于网络舆论恶性现象的行政立法的数量已初具规模，但造法主体的多样性很大程度上导致“各自为政”的现象产生，各主体往往会从本单位的行政执法角度出发，对网络舆论恶性现象的干预进行制度设计，进而在行政法律干预的内容上出现重复规定，导致行政干预无法全面覆盖以及出现干预空白。再由于各部门间工作环节和侧重点不同，甚至在制度设计中出现相冲突的规定，导致立法效果与行政执法效果之间出现断层。统一专门行政立法的缺失，最终造成了网络舆论恶性现象的行政法干预无法进行统筹的规划、考虑。</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w:t>
      </w:r>
      <w:r>
        <w:t>2</w:t>
      </w:r>
      <w:r>
        <w:rPr>
          <w:rFonts w:hint="eastAsia"/>
        </w:rPr>
        <w:t>）有关行政立法的层级较低</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从目前有关行政立法层级上看，大多文件以“决定”、“条例”、“办法”、“规定”等形式存在，不在“狭义法律”层级的范畴之内。而较低的立法层级，一方面直接影响了相关的行政法律规范的法律效力，进而导致了行政法对于网络舆论恶性现象的干预能力的削减，无法从根本上对其的广泛传播加以制约。另一方面，大量同位阶以及低位阶的行政法律规范，难以统一对网络舆论的引导模式，甚至在高位阶法律面前，无法根据自身的规范特点进行针对性的引导。</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w:t>
      </w:r>
      <w:r>
        <w:t>3</w:t>
      </w:r>
      <w:r>
        <w:rPr>
          <w:rFonts w:hint="eastAsia"/>
        </w:rPr>
        <w:t>）行政立法与科技的脱节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从行政规范颁布的年限上可以发现，仅有小部分的规范在近期做了调整，大部分的行政立法距今已有较长的时间跨度，凸显了相关行政立法严重的滞后性。但互联网的发展是蓬勃而迅猛的，发展模式也是日新月异，网络舆论恶性现象的高速泛滥已与过去的行政规范不相匹配，导致目前的有关行政立法的约束力有限，反而需要传统法律加以支撑。</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w:t>
      </w:r>
      <w:r>
        <w:t>4</w:t>
      </w:r>
      <w:r>
        <w:rPr>
          <w:rFonts w:hint="eastAsia"/>
        </w:rPr>
        <w:t>）行政法干预下的救济途径缺乏</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政府积极对网络舆论恶性现象采取行政法上的干预，由于网络舆论的优劣并无十分精准的界限划分，而完全由行政权中的自由裁量加以判定，或是政府对网络舆论恶性现象采取的消极不作为方式，难免会对自身利益构成侵犯，而目前相关行政立法中仍难觅行政救济途径的踪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b w:val="0"/>
          <w:bCs/>
        </w:rPr>
      </w:pPr>
      <w:r>
        <w:rPr>
          <w:b w:val="0"/>
          <w:bCs/>
        </w:rPr>
        <w:t>2.</w:t>
      </w:r>
      <w:r>
        <w:rPr>
          <w:rFonts w:hint="eastAsia"/>
          <w:b w:val="0"/>
          <w:bCs/>
        </w:rPr>
        <w:t>具体行政行为干预方面的问题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w:t>
      </w:r>
      <w:r>
        <w:t>1</w:t>
      </w:r>
      <w:r>
        <w:rPr>
          <w:rFonts w:hint="eastAsia"/>
        </w:rPr>
        <w:t>）行政法干预手段不透明、不到位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相关行政立法的运作中，行政主体因享有具体的行政执法权而占据着优势地位，目前大部分对于网络舆论恶性现象的干预手段仍属于行政上的事后规制，也是仅公众所知晓的部分，但对于网络舆论恶性现象进行事前预防，如政府的备案审查制度，以及事中约束，如行政主体思维积极作为干预等的行政法干预手段仍处在不透明的状态，对于网络舆论的优劣性干预标准也无从得知。缺少公众监督的权力，便极易产生干预手段的滥用，甚至导致“权力寻租”，而对网络舆论恶性现象的干预大打折扣。</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w:t>
      </w:r>
      <w:r>
        <w:t>2</w:t>
      </w:r>
      <w:r>
        <w:rPr>
          <w:rFonts w:hint="eastAsia"/>
        </w:rPr>
        <w:t>）干预机构的职权分配不明确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根据《互联网信息服务办法》第</w:t>
      </w:r>
      <w:r>
        <w:t>18</w:t>
      </w:r>
      <w:r>
        <w:rPr>
          <w:rFonts w:hint="eastAsia"/>
        </w:rPr>
        <w:t>条</w:t>
      </w:r>
      <w:r>
        <w:rPr>
          <w:rStyle w:val="12"/>
          <w:rFonts w:ascii="Times New Roman" w:hAnsi="Times New Roman"/>
          <w:sz w:val="18"/>
        </w:rPr>
        <w:t>[</w:t>
      </w:r>
      <w:r>
        <w:rPr>
          <w:rStyle w:val="12"/>
          <w:rFonts w:ascii="Times New Roman" w:hAnsi="Times New Roman"/>
          <w:sz w:val="18"/>
        </w:rPr>
        <w:footnoteReference w:id="69"/>
      </w:r>
      <w:r>
        <w:rPr>
          <w:rStyle w:val="12"/>
          <w:rFonts w:ascii="Times New Roman" w:hAnsi="Times New Roman"/>
          <w:sz w:val="18"/>
        </w:rPr>
        <w:t>]</w:t>
      </w:r>
      <w:r>
        <w:rPr>
          <w:rFonts w:hint="eastAsia"/>
        </w:rPr>
        <w:t>的规定，目前我国对网络舆论享有干预权的机构主要包括信息产业主管部门、新闻、出版管理机关、公安机关等等，明确了多个部门共同执法的干预形式，同时也在网络谣言的专门领域设置了专门的国家互联网信息办公室加以监管，因此，在现实中执法机关之间的相互推诿问题并不突出。但共同执法导致了各部门间职权分配模糊，关于行政机关执法的职权范围没有准确的划定以及分工归责的规定缺失会导致责任不清、权责分散和执法干预力度的削弱，很容易使得多部门执法对网络舆论恶性现象不是出现空白地带，就是会出现多次干预的混乱局面。</w:t>
      </w:r>
      <w:r>
        <w:rPr>
          <w:rStyle w:val="12"/>
          <w:rFonts w:ascii="Times New Roman" w:hAnsi="Times New Roman"/>
          <w:sz w:val="18"/>
        </w:rPr>
        <w:t>[</w:t>
      </w:r>
      <w:r>
        <w:rPr>
          <w:rStyle w:val="12"/>
          <w:rFonts w:ascii="Times New Roman" w:hAnsi="Times New Roman"/>
          <w:sz w:val="18"/>
        </w:rPr>
        <w:footnoteReference w:id="70"/>
      </w:r>
      <w:r>
        <w:rPr>
          <w:rStyle w:val="12"/>
          <w:rFonts w:ascii="Times New Roman" w:hAnsi="Times New Roman"/>
          <w:sz w:val="18"/>
        </w:rPr>
        <w:t>]</w:t>
      </w:r>
      <w:r>
        <w:rPr>
          <w:rFonts w:hint="eastAsia"/>
        </w:rPr>
        <w:t>进而造成网络舆论对行政执法干预均持消极态度，大大减损行政干预机构的形象和权威性。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w:t>
      </w:r>
      <w:r>
        <w:t>3</w:t>
      </w:r>
      <w:r>
        <w:rPr>
          <w:rFonts w:hint="eastAsia"/>
        </w:rPr>
        <w:t>）行政干预不吸纳公众参与</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rFonts w:hint="eastAsia"/>
        </w:rPr>
      </w:pPr>
      <w:r>
        <w:rPr>
          <w:rFonts w:hint="eastAsia"/>
        </w:rPr>
        <w:t>对于网络舆论恶性现象的行政法干预往往是高效性的，行政机关通过打击、辟谣等种种方式便可将突发产生的网络舆论恶性现象打压下去。但这种打压往往是暂时性的，集体中公众是缺少判别意识的，行政干预恶性舆论的过程中缺少公众的参与，缺少引导公众如何去辨别、如何去对抗的行为，只会导致“一波未平，一波又起”。</w:t>
      </w:r>
    </w:p>
    <w:p>
      <w:pPr>
        <w:keepNext w:val="0"/>
        <w:keepLines w:val="0"/>
        <w:pageBreakBefore w:val="0"/>
        <w:kinsoku/>
        <w:wordWrap/>
        <w:overflowPunct/>
        <w:topLinePunct w:val="0"/>
        <w:autoSpaceDE/>
        <w:autoSpaceDN/>
        <w:bidi w:val="0"/>
        <w:spacing w:line="240" w:lineRule="auto"/>
        <w:ind w:firstLine="420"/>
        <w:textAlignment w:val="auto"/>
        <w:rPr>
          <w:rFonts w:hint="eastAsia"/>
        </w:rPr>
      </w:pPr>
    </w:p>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b/>
          <w:sz w:val="21"/>
          <w:szCs w:val="21"/>
        </w:rPr>
      </w:pPr>
      <w:r>
        <w:rPr>
          <w:rFonts w:hint="eastAsia" w:ascii="黑体" w:hAnsi="黑体" w:eastAsia="黑体"/>
          <w:b/>
          <w:sz w:val="28"/>
          <w:szCs w:val="28"/>
          <w:lang w:val="en-US" w:eastAsia="zh-CN"/>
        </w:rPr>
        <w:t>四、</w:t>
      </w:r>
      <w:r>
        <w:rPr>
          <w:rFonts w:hint="eastAsia" w:ascii="黑体" w:hAnsi="黑体" w:eastAsia="黑体"/>
          <w:b/>
          <w:sz w:val="28"/>
          <w:szCs w:val="28"/>
        </w:rPr>
        <w:t>网络舆论恶性现象行政法干预的完善建议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left"/>
        <w:textAlignment w:val="auto"/>
        <w:outlineLvl w:val="9"/>
        <w:rPr>
          <w:rFonts w:ascii="宋体"/>
          <w:b/>
          <w:sz w:val="24"/>
          <w:szCs w:val="24"/>
        </w:rPr>
      </w:pPr>
      <w:r>
        <w:rPr>
          <w:rFonts w:hint="eastAsia" w:ascii="宋体" w:hAnsi="宋体"/>
          <w:b/>
          <w:sz w:val="24"/>
          <w:szCs w:val="24"/>
        </w:rPr>
        <w:t>（一）确定行政法对网络舆论恶性现象干预的基本原则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left"/>
        <w:textAlignment w:val="auto"/>
        <w:outlineLvl w:val="9"/>
      </w:pPr>
      <w:r>
        <w:rPr>
          <w:rFonts w:hint="eastAsia"/>
        </w:rPr>
        <w:t>事物的基本原则是其自我价值的体现，以及实现其价值的基本准则。法律规范的滞后性在快速变革的今天日益凸显，在出现法律的空白地带或是与现实相冲突时，基本原则就是最好的“调和剂”。另外，行政权的行使具有扩张性，不对其的行使界限加以原则上限定，公众的合法权益便极易受到侵害。笔者认为，应该对以下几点原则进行设定：</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jc w:val="left"/>
        <w:textAlignment w:val="auto"/>
        <w:outlineLvl w:val="9"/>
        <w:rPr>
          <w:b w:val="0"/>
          <w:bCs/>
        </w:rPr>
      </w:pPr>
      <w:r>
        <w:rPr>
          <w:b w:val="0"/>
          <w:bCs/>
        </w:rPr>
        <w:t>1.</w:t>
      </w:r>
      <w:r>
        <w:rPr>
          <w:rFonts w:hint="eastAsia"/>
          <w:b w:val="0"/>
          <w:bCs/>
        </w:rPr>
        <w:t>比例原则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行政主体实施行政行为应兼顾行政目标的实现和相对人权益的保护，如为实现行政目标可能对相对人权益造成某种不利影响时，应使这种不利影响限制在尽可能小的范围和限度内，保持二者处于适度的比例。对网络舆论进行行政法上的干预，将直接涉及到网络舆论主体的言论自由权，即行政主体在对网络舆论恶性现象进行行政规制干预的过程中，应当避免行政干预权在事件中的过度延伸而侵害到舆论主体本应享有的合法表达权利。比例原则是合理进行行政法干预，兼顾控制网络舆论恶性现象的泛滥的干预目标的实现与舆论主体合法表达自由权利的保护。</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b w:val="0"/>
          <w:bCs/>
        </w:rPr>
      </w:pPr>
      <w:r>
        <w:rPr>
          <w:b w:val="0"/>
          <w:bCs/>
        </w:rPr>
        <w:t>2.</w:t>
      </w:r>
      <w:r>
        <w:rPr>
          <w:rFonts w:hint="eastAsia"/>
          <w:b w:val="0"/>
          <w:bCs/>
        </w:rPr>
        <w:t>公共利益原则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人类社会作为一个有机整体，每个人的利益都与其他人的利益产生或多或少的联系，从而形成一定的共同利益，它代表了社会群体的大多数人的根本利益，是社会稳定发展的基石。</w:t>
      </w:r>
      <w:r>
        <w:rPr>
          <w:rStyle w:val="12"/>
          <w:rFonts w:ascii="Times New Roman" w:hAnsi="Times New Roman"/>
          <w:sz w:val="18"/>
        </w:rPr>
        <w:t>[</w:t>
      </w:r>
      <w:r>
        <w:rPr>
          <w:rStyle w:val="12"/>
          <w:rFonts w:ascii="Times New Roman" w:hAnsi="Times New Roman"/>
          <w:sz w:val="18"/>
        </w:rPr>
        <w:footnoteReference w:id="71"/>
      </w:r>
      <w:r>
        <w:rPr>
          <w:rStyle w:val="12"/>
          <w:rFonts w:ascii="Times New Roman" w:hAnsi="Times New Roman"/>
          <w:sz w:val="18"/>
        </w:rPr>
        <w:t>]</w:t>
      </w:r>
      <w:r>
        <w:rPr>
          <w:rFonts w:hint="eastAsia"/>
        </w:rPr>
        <w:t>公共利益原则在网络舆论恶性现象的行政法干预中则体现为，行政权对网络舆论的干预不得以其自我意识的价值判断来确定舆论的优劣与否，而应以社会的公共利益为判断标准，即网络言论自由权的行使，以不得侵犯公共利益为前提（其中包含对他人利益的侵害），否则将受到行政法上的规制。在衡量个人自由权利与公共利益保护后作出合理的行政干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b w:val="0"/>
          <w:bCs/>
        </w:rPr>
      </w:pPr>
      <w:r>
        <w:rPr>
          <w:b w:val="0"/>
          <w:bCs/>
        </w:rPr>
        <w:t>3.</w:t>
      </w:r>
      <w:r>
        <w:rPr>
          <w:rFonts w:hint="eastAsia"/>
          <w:b w:val="0"/>
          <w:bCs/>
        </w:rPr>
        <w:t>法律保留原则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法律保留原则作为依法行政原则重要内容之一，主要指的是行政权非有法律的依据，不得使人民负担义务或限制其权利。目前，网络舆论恶性现象的影响范围的广泛性以及行政法干预手段的不透明性，极易导致行政管理权的滥用。而法律保留原则一方面要求相关的干预行为的对象应遵循法律上关于网络舆论恶性的划定标准。另一方面，干预主体所设低位阶的法律文件不得影响法律对于网络舆论恶性现象事后规制的处罚设置。最终使得网络舆论恶性现象能在较高位阶的行政法律中得到统一规制干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b w:val="0"/>
          <w:bCs/>
        </w:rPr>
      </w:pPr>
      <w:r>
        <w:rPr>
          <w:b w:val="0"/>
          <w:bCs/>
        </w:rPr>
        <w:t>4.</w:t>
      </w:r>
      <w:r>
        <w:rPr>
          <w:rFonts w:hint="eastAsia"/>
          <w:b w:val="0"/>
          <w:bCs/>
        </w:rPr>
        <w:t>程序正当原则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行政活动不仅要在形式上符合法律规定，更要在实质上保证其公正性，因此，公民在其权利受到行政机关决定影响时，不仅在事后有通过行政内部监督或法院救济的机会，更应在事前、事中参与其权利决定的制作，尤其在其权利将受到行政权力的不利影响时，有权获得提出主张的机会，被告知决定的依据和理由。</w:t>
      </w:r>
      <w:r>
        <w:rPr>
          <w:rStyle w:val="12"/>
          <w:rFonts w:ascii="Times New Roman" w:hAnsi="Times New Roman"/>
          <w:sz w:val="18"/>
        </w:rPr>
        <w:t>[</w:t>
      </w:r>
      <w:r>
        <w:rPr>
          <w:rStyle w:val="12"/>
          <w:rFonts w:ascii="Times New Roman" w:hAnsi="Times New Roman"/>
          <w:sz w:val="18"/>
        </w:rPr>
        <w:footnoteReference w:id="72"/>
      </w:r>
      <w:r>
        <w:rPr>
          <w:rStyle w:val="12"/>
          <w:rFonts w:ascii="Times New Roman" w:hAnsi="Times New Roman"/>
          <w:sz w:val="18"/>
        </w:rPr>
        <w:t>]</w:t>
      </w:r>
      <w:r>
        <w:rPr>
          <w:rFonts w:hint="eastAsia"/>
        </w:rPr>
        <w:t>保证网络舆论行政干预程序正当最有效的方式就是行政公开，包括决策文件的公开以及行政干预过程的公开，对于公众，可以最大限度的保障其参与权、知情权以及异议权；对于网络舆论恶性现象的受干预者，应充分保障其说明理由的权利，以免合法权益受到侵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b w:val="0"/>
          <w:bCs/>
        </w:rPr>
      </w:pPr>
      <w:r>
        <w:rPr>
          <w:b w:val="0"/>
          <w:bCs/>
        </w:rPr>
        <w:t>5.</w:t>
      </w:r>
      <w:r>
        <w:rPr>
          <w:rFonts w:hint="eastAsia"/>
          <w:b w:val="0"/>
          <w:bCs/>
        </w:rPr>
        <w:t>公众参与原则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参与式行政是行政行为民主化、科学化的体现，在网络舆论恶性现象的行政法干预中，政府与公众形成良性的互动机制，往往是遏制恶性舆论传播最有效的手段，即行政的干预呼吁公众的参与，将与网络舆论恶性现象的对抗意识融入到公众的意志中，使外在的行政约束手段转化为公众内心的自觉抵抗，更有利于行政干预目标的实现，降低行政执法的成本。</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ascii="宋体"/>
          <w:b/>
          <w:sz w:val="24"/>
          <w:szCs w:val="24"/>
        </w:rPr>
      </w:pPr>
      <w:r>
        <w:rPr>
          <w:rFonts w:hint="eastAsia" w:ascii="宋体" w:hAnsi="宋体"/>
          <w:b/>
          <w:sz w:val="24"/>
          <w:szCs w:val="24"/>
        </w:rPr>
        <w:t>（二）抽象行政行为干预方面的完善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b w:val="0"/>
          <w:bCs/>
        </w:rPr>
      </w:pPr>
      <w:r>
        <w:rPr>
          <w:rFonts w:ascii="宋体" w:hAnsi="宋体"/>
          <w:b w:val="0"/>
          <w:bCs/>
        </w:rPr>
        <w:t>1.</w:t>
      </w:r>
      <w:r>
        <w:rPr>
          <w:rFonts w:hint="eastAsia" w:ascii="宋体" w:hAnsi="宋体"/>
          <w:b w:val="0"/>
          <w:bCs/>
        </w:rPr>
        <w:t>制定统一的网络舆论行政法律</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初具规模的网络舆论的分散行政立法在遏制网络舆论恶性现象方面仍展现出了干预空白、效果断层等诸多弊端。在网络舆论迅猛发展的今天，没有专门统一的立法加以规范、干预，会对社会的稳定和发展构成极大的隐患。另外，出于网络舆论恶性现象多元、广泛等特征的考虑，有必要制定一部纲领性的统一法典在其干预方面做出统筹和规划，再由其他基数庞大分散的行政立法在干预细节方面做出深入的规制。统一的网络舆论行政干预法，在防止零散立法间互相重复、相互冲突以及保障规范的统一性上都有着重要作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b w:val="0"/>
          <w:bCs/>
        </w:rPr>
      </w:pPr>
      <w:r>
        <w:rPr>
          <w:b w:val="0"/>
          <w:bCs/>
        </w:rPr>
        <w:t>2.</w:t>
      </w:r>
      <w:r>
        <w:rPr>
          <w:rFonts w:hint="eastAsia"/>
          <w:b w:val="0"/>
          <w:bCs/>
        </w:rPr>
        <w:t>提高行政立法位阶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网络舆论恶性现象行政干预立法分散的现状下，提高立法的层级，组成高执行力、强操作性的网络舆论干预法律体系，应当作为往后相关行政立法的侧重点。除此之外，各造法部门之间应加大在网络舆论恶性现象行政干预立法上的沟通，形成统一的、具有针对性的网络舆论引导模式，构建相互配合、相互弥补的行政干预体制。多管齐下的干预模式才能有效地对网络舆论恶性现象进行限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b w:val="0"/>
          <w:bCs/>
        </w:rPr>
      </w:pPr>
      <w:r>
        <w:rPr>
          <w:b w:val="0"/>
          <w:bCs/>
        </w:rPr>
        <w:t>3.</w:t>
      </w:r>
      <w:r>
        <w:rPr>
          <w:rFonts w:hint="eastAsia"/>
          <w:b w:val="0"/>
          <w:bCs/>
        </w:rPr>
        <w:t>行政立法的适时更新</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行政立法的严重滞后，导致其约束能力的严重削减。随着网络舆论的蓬勃发展，为达到对网络舆论恶性现象的约束效果，行政的干预法律也应当“与时俱进”，进行适时更新，即在互联网进步带来立法干预内容变化的同时，行政立法应当做出相应前瞻性的修改或者废止失去相应约束力的法律规范，对于现实干预效果较强的行政立法规范上升其的法律位阶，形成与网络舆论恶性现象发展相配套的遏制干预体系。</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b w:val="0"/>
          <w:bCs/>
        </w:rPr>
      </w:pPr>
      <w:r>
        <w:rPr>
          <w:b w:val="0"/>
          <w:bCs/>
        </w:rPr>
        <w:t>4.</w:t>
      </w:r>
      <w:r>
        <w:rPr>
          <w:rFonts w:hint="eastAsia"/>
          <w:b w:val="0"/>
          <w:bCs/>
        </w:rPr>
        <w:t>完善行政救济体系</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出于行政主体对于网络舆论的强干预性、轻私权性以及对网络舆论恶性现象这一互联网时代的新兴产物的认识偏差，在行政干预的过程中难免会对公众的私权产生不同程度的侵害，而完善行政救济体系则对一方面起着弥补性的关键作用。主要包括行政复议、行政诉讼、行政赔偿领域救济体系的完善。在行政复议中，具体是指因网络中言论而受到行政处罚或被采取行政强制措施而提起的行政复议内容的完善；对于网络舆论引发的行政诉讼，仍应构建与传统行政机关承担举证责任的诉讼模式，作为平衡弱势一方公众的救济权利；完善行政赔偿领域，一方面对受侵害者进行了实际救济，另一方面也在一定程度上对行政主体起到了监督作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ascii="宋体"/>
          <w:b/>
          <w:sz w:val="24"/>
          <w:szCs w:val="24"/>
        </w:rPr>
      </w:pPr>
      <w:r>
        <w:rPr>
          <w:rFonts w:hint="eastAsia" w:ascii="宋体" w:hAnsi="宋体"/>
          <w:b/>
          <w:sz w:val="24"/>
          <w:szCs w:val="24"/>
        </w:rPr>
        <w:t>（三）具体行政行为干预方面的完善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b w:val="0"/>
          <w:bCs/>
        </w:rPr>
      </w:pPr>
      <w:r>
        <w:rPr>
          <w:b w:val="0"/>
          <w:bCs/>
        </w:rPr>
        <w:t>1.</w:t>
      </w:r>
      <w:r>
        <w:rPr>
          <w:rFonts w:hint="eastAsia"/>
          <w:b w:val="0"/>
          <w:bCs/>
        </w:rPr>
        <w:t>行政公开的前提下控制自由裁量权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阳光是最好的防腐剂”，行政权力缺乏透明度必将导致权力的滥用，行政公开是作为合理规范行政对网络舆论干预边界的重要前提，在保障公众充分参与的同时也增强了行政干预的权威性，其中包括事前行政预防的公开，即对于网络信息备案制度中关于网络舆论的优劣具体标准予以公布；还包括事中行政干预过程的公开，即使公众充分了解网络舆论恶性现象干预流程中的具体程序、细节。出于行政机关对于网络舆论恶性现象可能出现的认识上的偏差，行政干预公开后进行行政干预主体自由裁量权的控制更具有紧迫性。“将权力关进制度的笼子里”，以制度的限定对网络舆论自由裁量的限度与尺度，同时也让公众明白网络自由行使的界线。</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b w:val="0"/>
          <w:bCs/>
        </w:rPr>
      </w:pPr>
      <w:r>
        <w:rPr>
          <w:b w:val="0"/>
          <w:bCs/>
        </w:rPr>
        <w:t>2.</w:t>
      </w:r>
      <w:r>
        <w:rPr>
          <w:rFonts w:hint="eastAsia"/>
          <w:b w:val="0"/>
          <w:bCs/>
        </w:rPr>
        <w:t>合理规划行政职权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pPr>
      <w:r>
        <w:rPr>
          <w:rFonts w:hint="eastAsia"/>
        </w:rPr>
        <w:t>多部门共同执法干预的现状下，各部门行政干预职权的划分、固定能更有效地实现网络舆论恶性现象的全面规范干预，形成高针对性、权责明确的干预模式，避免干预空白、重复干预的尴尬现象的产生。另外，构建统一专门的干预机构，更有利于多部门之间行政干预职权的协调统一，对各部门特有的行政干预资源进行合理整合，也极大提升了行政法规范下的行政权对于突发性网络舆论恶性现象的干预能力。</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b w:val="0"/>
          <w:bCs/>
        </w:rPr>
      </w:pPr>
      <w:r>
        <w:rPr>
          <w:b w:val="0"/>
          <w:bCs/>
        </w:rPr>
        <w:t>3.</w:t>
      </w:r>
      <w:r>
        <w:rPr>
          <w:rFonts w:hint="eastAsia"/>
          <w:b w:val="0"/>
          <w:bCs/>
        </w:rPr>
        <w:t>重视行政干预中的公众参与</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rStyle w:val="12"/>
          <w:rFonts w:ascii="Times New Roman" w:hAnsi="Times New Roman"/>
          <w:sz w:val="18"/>
        </w:rPr>
      </w:pPr>
      <w:r>
        <w:rPr>
          <w:rFonts w:hint="eastAsia"/>
        </w:rPr>
        <w:t>网络舆论恶性现象的行政干预在与公众形成良好的互动机制下，往往能发挥更好的遏制作用，不但增强了行政干预的可接受性，并且对于网络舆论恶性现象的行政法干预结合了公众内心的抵制而更具成效性。一方面应加强在与公众具有密切利害关系的公众参与的行政立法，另一方面应当吸收公众参与行政干预相关网络舆论恶性现象事件的调查中来，并允许公众通过网络媒介向外界发布调查情况，使得公众信息与政府信息互为补充，提高行政干预信息的可信度。</w:t>
      </w:r>
      <w:r>
        <w:rPr>
          <w:rStyle w:val="12"/>
          <w:rFonts w:ascii="Times New Roman" w:hAnsi="Times New Roman"/>
          <w:sz w:val="18"/>
        </w:rPr>
        <w:t>[</w:t>
      </w:r>
      <w:r>
        <w:rPr>
          <w:rStyle w:val="12"/>
          <w:rFonts w:ascii="Times New Roman" w:hAnsi="Times New Roman"/>
          <w:sz w:val="18"/>
        </w:rPr>
        <w:footnoteReference w:id="73"/>
      </w:r>
      <w:r>
        <w:rPr>
          <w:rStyle w:val="12"/>
          <w:rFonts w:ascii="Times New Roman" w:hAnsi="Times New Roman"/>
          <w:sz w:val="18"/>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textAlignment w:val="auto"/>
        <w:outlineLvl w:val="9"/>
        <w:rPr>
          <w:rStyle w:val="12"/>
          <w:rFonts w:hint="eastAsia" w:ascii="Times New Roman" w:hAnsi="Times New Roman"/>
          <w:sz w:val="21"/>
          <w:szCs w:val="21"/>
        </w:rPr>
      </w:pPr>
    </w:p>
    <w:p>
      <w:pPr>
        <w:keepNext w:val="0"/>
        <w:keepLines w:val="0"/>
        <w:pageBreakBefore w:val="0"/>
        <w:kinsoku/>
        <w:wordWrap/>
        <w:overflowPunct/>
        <w:topLinePunct w:val="0"/>
        <w:autoSpaceDE/>
        <w:autoSpaceDN/>
        <w:bidi w:val="0"/>
        <w:spacing w:line="240" w:lineRule="auto"/>
        <w:jc w:val="center"/>
        <w:textAlignment w:val="auto"/>
        <w:rPr>
          <w:rFonts w:hint="eastAsia"/>
        </w:rPr>
      </w:pPr>
      <w:r>
        <w:rPr>
          <w:rFonts w:hint="eastAsia" w:ascii="黑体" w:hAnsi="黑体" w:eastAsia="黑体"/>
          <w:b/>
          <w:sz w:val="28"/>
          <w:szCs w:val="28"/>
          <w:lang w:val="en-US" w:eastAsia="zh-CN"/>
        </w:rPr>
        <w:t>五、</w:t>
      </w:r>
      <w:r>
        <w:rPr>
          <w:rFonts w:hint="eastAsia" w:ascii="黑体" w:hAnsi="黑体" w:eastAsia="黑体"/>
          <w:b/>
          <w:sz w:val="28"/>
          <w:szCs w:val="28"/>
        </w:rPr>
        <w:t>结语</w:t>
      </w:r>
    </w:p>
    <w:p>
      <w:pPr>
        <w:keepNext w:val="0"/>
        <w:keepLines w:val="0"/>
        <w:pageBreakBefore w:val="0"/>
        <w:kinsoku/>
        <w:wordWrap/>
        <w:overflowPunct/>
        <w:topLinePunct w:val="0"/>
        <w:autoSpaceDE/>
        <w:autoSpaceDN/>
        <w:bidi w:val="0"/>
        <w:spacing w:line="240" w:lineRule="auto"/>
        <w:ind w:firstLine="420" w:firstLineChars="200"/>
        <w:textAlignment w:val="auto"/>
      </w:pPr>
      <w:r>
        <w:rPr>
          <w:rFonts w:hint="eastAsia"/>
        </w:rPr>
        <w:t>大网络时代的环境下，网络中的舆论与每个人的生活联系日益紧密，但传统法律规范往往具有天然的滞后性，而新兴产物的在引导上的缺乏也为其非理性和情绪化的演变创造了条件，针对现实中出现的新难点，也对法律对其的干预模式提出了新的调整要求。</w:t>
      </w:r>
    </w:p>
    <w:p>
      <w:pPr>
        <w:keepNext w:val="0"/>
        <w:keepLines w:val="0"/>
        <w:pageBreakBefore w:val="0"/>
        <w:kinsoku/>
        <w:wordWrap/>
        <w:overflowPunct/>
        <w:topLinePunct w:val="0"/>
        <w:autoSpaceDE/>
        <w:autoSpaceDN/>
        <w:bidi w:val="0"/>
        <w:spacing w:line="240" w:lineRule="auto"/>
        <w:ind w:firstLine="420"/>
        <w:textAlignment w:val="auto"/>
      </w:pPr>
      <w:r>
        <w:rPr>
          <w:rFonts w:hint="eastAsia"/>
        </w:rPr>
        <w:t>广义上的行政法相较于其他法律部门而言更具有活跃性、易调整和操作性，“法律永远落后与于行政”</w:t>
      </w:r>
      <w:r>
        <w:rPr>
          <w:rStyle w:val="12"/>
          <w:rFonts w:ascii="Times New Roman" w:hAnsi="Times New Roman"/>
          <w:sz w:val="18"/>
        </w:rPr>
        <w:t>[</w:t>
      </w:r>
      <w:r>
        <w:rPr>
          <w:rStyle w:val="12"/>
          <w:rFonts w:ascii="Times New Roman" w:hAnsi="Times New Roman"/>
          <w:sz w:val="18"/>
        </w:rPr>
        <w:footnoteReference w:id="74"/>
      </w:r>
      <w:r>
        <w:rPr>
          <w:rStyle w:val="12"/>
          <w:rFonts w:ascii="Times New Roman" w:hAnsi="Times New Roman"/>
          <w:sz w:val="18"/>
        </w:rPr>
        <w:t>]</w:t>
      </w:r>
      <w:r>
        <w:rPr>
          <w:rFonts w:hint="eastAsia"/>
        </w:rPr>
        <w:t>，通过本文的分析，将网络舆论恶性现象纳入行政法体系的干预中，具有重要意义。一方面在行政主体更加完善抽象行政行为和具体行政行为后，行政的干预管理职能更贴近新环境下管理的需要，更能与时代接轨；另一方面更有利于公众的网络言论自由的保障以及互联网健康发展的目的的实现。随着行政法干预的进步，和谐健康有序的网络环境的构建也指日可待了。</w:t>
      </w:r>
    </w:p>
    <w:p>
      <w:pPr>
        <w:keepNext w:val="0"/>
        <w:keepLines w:val="0"/>
        <w:pageBreakBefore w:val="0"/>
        <w:kinsoku/>
        <w:wordWrap/>
        <w:overflowPunct/>
        <w:topLinePunct w:val="0"/>
        <w:autoSpaceDE/>
        <w:autoSpaceDN/>
        <w:bidi w:val="0"/>
        <w:spacing w:line="240" w:lineRule="auto"/>
        <w:textAlignment w:val="auto"/>
        <w:outlineLvl w:val="0"/>
        <w:rPr>
          <w:rFonts w:ascii="黑体" w:hAnsi="宋体" w:eastAsia="黑体"/>
        </w:rPr>
      </w:pPr>
      <w:bookmarkStart w:id="1" w:name="_Toc418708365"/>
    </w:p>
    <w:p>
      <w:pPr>
        <w:keepNext w:val="0"/>
        <w:keepLines w:val="0"/>
        <w:pageBreakBefore w:val="0"/>
        <w:kinsoku/>
        <w:wordWrap/>
        <w:overflowPunct/>
        <w:topLinePunct w:val="0"/>
        <w:autoSpaceDE/>
        <w:autoSpaceDN/>
        <w:bidi w:val="0"/>
        <w:spacing w:line="240" w:lineRule="auto"/>
        <w:ind w:firstLine="562" w:firstLineChars="200"/>
        <w:jc w:val="center"/>
        <w:textAlignment w:val="auto"/>
        <w:outlineLvl w:val="0"/>
        <w:rPr>
          <w:rFonts w:hint="eastAsia" w:ascii="黑体" w:hAnsi="宋体" w:eastAsia="黑体"/>
          <w:b/>
          <w:sz w:val="21"/>
          <w:szCs w:val="21"/>
        </w:rPr>
      </w:pPr>
      <w:r>
        <w:rPr>
          <w:rFonts w:hint="eastAsia" w:ascii="黑体" w:hAnsi="宋体" w:eastAsia="黑体"/>
          <w:b/>
          <w:sz w:val="28"/>
          <w:szCs w:val="28"/>
        </w:rPr>
        <w:t>参考文献</w:t>
      </w:r>
      <w:bookmarkEnd w:id="1"/>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ascii="宋体"/>
          <w:szCs w:val="20"/>
        </w:rPr>
      </w:pPr>
      <w:r>
        <w:rPr>
          <w:rFonts w:ascii="宋体" w:hAnsi="宋体"/>
          <w:szCs w:val="20"/>
        </w:rPr>
        <w:t xml:space="preserve">[1] </w:t>
      </w:r>
      <w:r>
        <w:rPr>
          <w:rFonts w:hint="eastAsia" w:ascii="宋体" w:hAnsi="宋体"/>
          <w:szCs w:val="20"/>
        </w:rPr>
        <w:t>中国互联网络信息中心：《中国互联网络发展状况统计报告》</w:t>
      </w:r>
      <w:r>
        <w:rPr>
          <w:rFonts w:ascii="宋体" w:hAnsi="宋体"/>
          <w:szCs w:val="20"/>
        </w:rPr>
        <w:t>2016</w:t>
      </w:r>
      <w:r>
        <w:rPr>
          <w:rFonts w:hint="eastAsia" w:ascii="宋体" w:hAnsi="宋体"/>
          <w:szCs w:val="20"/>
        </w:rPr>
        <w:t>年</w:t>
      </w:r>
      <w:r>
        <w:rPr>
          <w:rFonts w:ascii="宋体" w:hAnsi="宋体"/>
          <w:szCs w:val="20"/>
        </w:rPr>
        <w:t>1</w:t>
      </w:r>
      <w:r>
        <w:rPr>
          <w:rFonts w:hint="eastAsia" w:ascii="宋体" w:hAnsi="宋体"/>
          <w:szCs w:val="20"/>
        </w:rPr>
        <w:t>月，第</w:t>
      </w:r>
      <w:r>
        <w:rPr>
          <w:rFonts w:ascii="宋体" w:hAnsi="宋体"/>
          <w:szCs w:val="20"/>
        </w:rPr>
        <w:t>43-45</w:t>
      </w:r>
      <w:r>
        <w:rPr>
          <w:rFonts w:hint="eastAsia" w:ascii="宋体" w:hAnsi="宋体"/>
          <w:szCs w:val="20"/>
        </w:rPr>
        <w:t>页</w:t>
      </w:r>
      <w:r>
        <w:rPr>
          <w:rFonts w:ascii="宋体"/>
          <w:szCs w:val="20"/>
        </w:rPr>
        <w:t>.</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ascii="宋体"/>
          <w:szCs w:val="20"/>
        </w:rPr>
      </w:pPr>
      <w:r>
        <w:rPr>
          <w:rFonts w:ascii="宋体" w:hAnsi="宋体"/>
          <w:szCs w:val="20"/>
        </w:rPr>
        <w:t xml:space="preserve">[2] </w:t>
      </w:r>
      <w:r>
        <w:rPr>
          <w:rFonts w:hint="eastAsia" w:ascii="宋体" w:hAnsi="宋体"/>
          <w:szCs w:val="20"/>
        </w:rPr>
        <w:t>谭伟，网络舆论概念及特征</w:t>
      </w:r>
      <w:r>
        <w:rPr>
          <w:rFonts w:ascii="宋体" w:hAnsi="宋体"/>
          <w:szCs w:val="20"/>
        </w:rPr>
        <w:t xml:space="preserve">[J]. </w:t>
      </w:r>
      <w:r>
        <w:rPr>
          <w:rFonts w:hint="eastAsia" w:ascii="宋体" w:hAnsi="宋体"/>
          <w:szCs w:val="20"/>
        </w:rPr>
        <w:t>湖南社会科学，</w:t>
      </w:r>
      <w:r>
        <w:rPr>
          <w:rFonts w:ascii="宋体" w:hAnsi="宋体"/>
          <w:szCs w:val="20"/>
        </w:rPr>
        <w:t>2003</w:t>
      </w:r>
      <w:r>
        <w:rPr>
          <w:rFonts w:hint="eastAsia" w:ascii="宋体" w:hAnsi="宋体"/>
          <w:szCs w:val="20"/>
        </w:rPr>
        <w:t>，</w:t>
      </w:r>
      <w:r>
        <w:rPr>
          <w:rFonts w:ascii="宋体" w:hAnsi="宋体"/>
          <w:szCs w:val="20"/>
        </w:rPr>
        <w:t>05</w:t>
      </w:r>
      <w:r>
        <w:rPr>
          <w:rFonts w:hint="eastAsia" w:ascii="宋体" w:hAnsi="宋体"/>
          <w:szCs w:val="20"/>
        </w:rPr>
        <w:t>：</w:t>
      </w:r>
      <w:r>
        <w:rPr>
          <w:rFonts w:ascii="宋体" w:hAnsi="宋体"/>
          <w:szCs w:val="20"/>
        </w:rPr>
        <w:t>188-190.</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ascii="宋体"/>
          <w:szCs w:val="20"/>
        </w:rPr>
      </w:pPr>
      <w:r>
        <w:rPr>
          <w:rFonts w:ascii="宋体" w:hAnsi="宋体"/>
          <w:szCs w:val="20"/>
        </w:rPr>
        <w:t xml:space="preserve">[3] </w:t>
      </w:r>
      <w:r>
        <w:rPr>
          <w:rFonts w:hint="eastAsia" w:ascii="宋体" w:hAnsi="宋体"/>
          <w:szCs w:val="20"/>
        </w:rPr>
        <w:t>袁建辉，法律规制视角下的网络舆论研究</w:t>
      </w:r>
      <w:r>
        <w:rPr>
          <w:rFonts w:ascii="宋体" w:hAnsi="宋体"/>
          <w:szCs w:val="20"/>
        </w:rPr>
        <w:t>[D]</w:t>
      </w:r>
      <w:r>
        <w:rPr>
          <w:rFonts w:hint="eastAsia" w:ascii="宋体" w:hAnsi="宋体"/>
          <w:szCs w:val="20"/>
        </w:rPr>
        <w:t>，西南政法大学，</w:t>
      </w:r>
      <w:r>
        <w:rPr>
          <w:rFonts w:ascii="宋体" w:hAnsi="宋体"/>
          <w:szCs w:val="20"/>
        </w:rPr>
        <w:t>2010.</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ascii="宋体"/>
          <w:szCs w:val="20"/>
        </w:rPr>
      </w:pPr>
      <w:r>
        <w:rPr>
          <w:rFonts w:ascii="宋体" w:hAnsi="宋体"/>
          <w:szCs w:val="20"/>
        </w:rPr>
        <w:t xml:space="preserve">[4] </w:t>
      </w:r>
      <w:r>
        <w:rPr>
          <w:rFonts w:hint="eastAsia" w:ascii="宋体" w:hAnsi="宋体"/>
          <w:szCs w:val="20"/>
        </w:rPr>
        <w:t>谢上</w:t>
      </w:r>
      <w:r>
        <w:rPr>
          <w:rFonts w:hint="eastAsia" w:ascii="宋体"/>
          <w:szCs w:val="20"/>
        </w:rPr>
        <w:t>，</w:t>
      </w:r>
      <w:r>
        <w:rPr>
          <w:rFonts w:hint="eastAsia" w:ascii="宋体" w:hAnsi="宋体"/>
          <w:szCs w:val="20"/>
        </w:rPr>
        <w:t>“网络暴力”的法律规制</w:t>
      </w:r>
      <w:r>
        <w:rPr>
          <w:rFonts w:ascii="宋体" w:hAnsi="宋体"/>
          <w:szCs w:val="20"/>
        </w:rPr>
        <w:t>[J]</w:t>
      </w:r>
      <w:r>
        <w:rPr>
          <w:rFonts w:hint="eastAsia" w:ascii="宋体" w:hAnsi="宋体"/>
          <w:szCs w:val="20"/>
        </w:rPr>
        <w:t>，法制博览，</w:t>
      </w:r>
      <w:r>
        <w:rPr>
          <w:rFonts w:ascii="宋体" w:hAnsi="宋体"/>
          <w:szCs w:val="20"/>
        </w:rPr>
        <w:t>2015</w:t>
      </w:r>
      <w:r>
        <w:rPr>
          <w:rFonts w:hint="eastAsia" w:ascii="宋体" w:hAnsi="宋体"/>
          <w:szCs w:val="20"/>
        </w:rPr>
        <w:t>，</w:t>
      </w:r>
      <w:r>
        <w:rPr>
          <w:rFonts w:ascii="宋体" w:hAnsi="宋体"/>
          <w:szCs w:val="20"/>
        </w:rPr>
        <w:t>06</w:t>
      </w:r>
      <w:r>
        <w:rPr>
          <w:rFonts w:hint="eastAsia" w:ascii="宋体" w:hAnsi="宋体"/>
          <w:szCs w:val="20"/>
        </w:rPr>
        <w:t>：</w:t>
      </w:r>
      <w:r>
        <w:rPr>
          <w:rFonts w:ascii="宋体" w:hAnsi="宋体"/>
          <w:szCs w:val="20"/>
        </w:rPr>
        <w:t>38-39.</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ascii="宋体" w:cs="宋体"/>
          <w:szCs w:val="21"/>
        </w:rPr>
      </w:pPr>
      <w:r>
        <w:rPr>
          <w:rFonts w:ascii="宋体" w:hAnsi="宋体"/>
          <w:szCs w:val="20"/>
        </w:rPr>
        <w:t xml:space="preserve">[5] </w:t>
      </w:r>
      <w:r>
        <w:rPr>
          <w:rFonts w:hint="eastAsia" w:ascii="宋体" w:hAnsi="宋体" w:cs="宋体"/>
          <w:szCs w:val="21"/>
        </w:rPr>
        <w:t>孙昌军、郑远民、易志斌，网络安全法</w:t>
      </w:r>
      <w:r>
        <w:rPr>
          <w:rFonts w:ascii="宋体" w:hAnsi="宋体"/>
          <w:szCs w:val="20"/>
        </w:rPr>
        <w:t>[M]</w:t>
      </w:r>
      <w:r>
        <w:rPr>
          <w:rFonts w:hint="eastAsia" w:ascii="宋体" w:hAnsi="宋体" w:cs="宋体"/>
          <w:szCs w:val="21"/>
        </w:rPr>
        <w:t>，湖南大学出版社，</w:t>
      </w:r>
      <w:r>
        <w:rPr>
          <w:rFonts w:ascii="宋体" w:hAnsi="宋体" w:cs="宋体"/>
          <w:szCs w:val="21"/>
        </w:rPr>
        <w:t>2002</w:t>
      </w:r>
      <w:r>
        <w:rPr>
          <w:rFonts w:ascii="宋体" w:cs="宋体"/>
          <w:szCs w:val="21"/>
        </w:rPr>
        <w:t>.</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ascii="宋体"/>
          <w:szCs w:val="20"/>
        </w:rPr>
      </w:pPr>
      <w:r>
        <w:rPr>
          <w:rFonts w:ascii="宋体" w:hAnsi="宋体"/>
          <w:szCs w:val="20"/>
        </w:rPr>
        <w:t xml:space="preserve">[6] </w:t>
      </w:r>
      <w:r>
        <w:rPr>
          <w:rFonts w:hint="eastAsia" w:ascii="宋体" w:hAnsi="宋体" w:cs="宋体"/>
          <w:szCs w:val="21"/>
        </w:rPr>
        <w:t>陈栩然</w:t>
      </w:r>
      <w:r>
        <w:rPr>
          <w:rFonts w:hint="eastAsia" w:ascii="宋体"/>
          <w:szCs w:val="20"/>
        </w:rPr>
        <w:t>，</w:t>
      </w:r>
      <w:r>
        <w:rPr>
          <w:rFonts w:hint="eastAsia" w:ascii="宋体" w:hAnsi="宋体" w:cs="宋体"/>
          <w:szCs w:val="21"/>
        </w:rPr>
        <w:t>网络暴力的行政法规制</w:t>
      </w:r>
      <w:r>
        <w:rPr>
          <w:rFonts w:hint="eastAsia" w:ascii="宋体"/>
          <w:szCs w:val="20"/>
        </w:rPr>
        <w:t>，</w:t>
      </w:r>
      <w:r>
        <w:rPr>
          <w:rFonts w:hint="eastAsia" w:ascii="宋体" w:hAnsi="宋体" w:cs="宋体"/>
          <w:szCs w:val="21"/>
        </w:rPr>
        <w:t>网络安全技术与应用，</w:t>
      </w:r>
      <w:r>
        <w:rPr>
          <w:rFonts w:ascii="宋体" w:hAnsi="宋体" w:cs="宋体"/>
          <w:szCs w:val="21"/>
        </w:rPr>
        <w:t>2015</w:t>
      </w:r>
      <w:r>
        <w:rPr>
          <w:rFonts w:hint="eastAsia" w:ascii="宋体" w:hAnsi="宋体" w:cs="宋体"/>
          <w:szCs w:val="21"/>
        </w:rPr>
        <w:t>，</w:t>
      </w:r>
      <w:r>
        <w:rPr>
          <w:rFonts w:ascii="宋体" w:hAnsi="宋体" w:cs="宋体"/>
          <w:szCs w:val="21"/>
        </w:rPr>
        <w:t>07</w:t>
      </w:r>
      <w:r>
        <w:rPr>
          <w:rFonts w:hint="eastAsia" w:ascii="宋体" w:hAnsi="宋体" w:cs="宋体"/>
          <w:szCs w:val="21"/>
        </w:rPr>
        <w:t>：</w:t>
      </w:r>
      <w:r>
        <w:rPr>
          <w:rFonts w:ascii="宋体" w:hAnsi="宋体" w:cs="宋体"/>
          <w:szCs w:val="21"/>
        </w:rPr>
        <w:t>104-106.</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ascii="宋体" w:cs="宋体"/>
          <w:szCs w:val="21"/>
        </w:rPr>
      </w:pPr>
      <w:r>
        <w:rPr>
          <w:rFonts w:ascii="宋体" w:hAnsi="宋体"/>
          <w:szCs w:val="20"/>
        </w:rPr>
        <w:t xml:space="preserve">[7] </w:t>
      </w:r>
      <w:r>
        <w:rPr>
          <w:rFonts w:hint="eastAsia" w:ascii="宋体" w:hAnsi="宋体" w:cs="宋体"/>
          <w:szCs w:val="21"/>
        </w:rPr>
        <w:t>关保英</w:t>
      </w:r>
      <w:r>
        <w:rPr>
          <w:rFonts w:hint="eastAsia" w:ascii="宋体"/>
          <w:szCs w:val="20"/>
        </w:rPr>
        <w:t>，</w:t>
      </w:r>
      <w:r>
        <w:rPr>
          <w:rFonts w:hint="eastAsia" w:ascii="宋体" w:hAnsi="宋体" w:cs="宋体"/>
          <w:szCs w:val="21"/>
        </w:rPr>
        <w:t>行政法学</w:t>
      </w:r>
      <w:r>
        <w:rPr>
          <w:rFonts w:ascii="宋体" w:hAnsi="宋体"/>
          <w:szCs w:val="20"/>
        </w:rPr>
        <w:t>[M]</w:t>
      </w:r>
      <w:r>
        <w:rPr>
          <w:rFonts w:hint="eastAsia" w:ascii="宋体" w:hAnsi="宋体" w:cs="宋体"/>
          <w:szCs w:val="21"/>
        </w:rPr>
        <w:t>，法律出版社，</w:t>
      </w:r>
      <w:r>
        <w:rPr>
          <w:rFonts w:ascii="宋体" w:hAnsi="宋体" w:cs="宋体"/>
          <w:szCs w:val="21"/>
        </w:rPr>
        <w:t>2013</w:t>
      </w:r>
      <w:r>
        <w:rPr>
          <w:rFonts w:ascii="宋体" w:cs="宋体"/>
          <w:szCs w:val="21"/>
        </w:rPr>
        <w:t>.</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ascii="宋体"/>
          <w:szCs w:val="20"/>
        </w:rPr>
      </w:pPr>
      <w:r>
        <w:rPr>
          <w:rFonts w:ascii="宋体" w:hAnsi="宋体"/>
          <w:szCs w:val="20"/>
        </w:rPr>
        <w:t xml:space="preserve">[8] </w:t>
      </w:r>
      <w:r>
        <w:rPr>
          <w:rFonts w:hint="eastAsia" w:ascii="宋体" w:hAnsi="宋体" w:cs="宋体"/>
          <w:szCs w:val="21"/>
        </w:rPr>
        <w:t>杨福忠</w:t>
      </w:r>
      <w:r>
        <w:rPr>
          <w:rFonts w:hint="eastAsia" w:ascii="宋体"/>
          <w:szCs w:val="20"/>
        </w:rPr>
        <w:t>，</w:t>
      </w:r>
      <w:r>
        <w:rPr>
          <w:rFonts w:hint="eastAsia" w:ascii="宋体" w:hAnsi="宋体" w:cs="宋体"/>
          <w:szCs w:val="21"/>
        </w:rPr>
        <w:t>论我国规制网络言论立法之完善</w:t>
      </w:r>
      <w:r>
        <w:rPr>
          <w:rFonts w:ascii="宋体" w:hAnsi="宋体"/>
          <w:szCs w:val="20"/>
        </w:rPr>
        <w:t>[J]</w:t>
      </w:r>
      <w:r>
        <w:rPr>
          <w:rFonts w:hint="eastAsia" w:ascii="宋体" w:hAnsi="宋体" w:cs="宋体"/>
          <w:szCs w:val="21"/>
        </w:rPr>
        <w:t>，北方法学，</w:t>
      </w:r>
      <w:r>
        <w:rPr>
          <w:rFonts w:ascii="宋体" w:hAnsi="宋体" w:cs="宋体"/>
          <w:szCs w:val="21"/>
        </w:rPr>
        <w:t>2013</w:t>
      </w:r>
      <w:r>
        <w:rPr>
          <w:rFonts w:hint="eastAsia" w:ascii="宋体" w:hAnsi="宋体" w:cs="宋体"/>
          <w:szCs w:val="21"/>
        </w:rPr>
        <w:t>，</w:t>
      </w:r>
      <w:r>
        <w:rPr>
          <w:rFonts w:ascii="宋体" w:cs="宋体"/>
          <w:szCs w:val="21"/>
        </w:rPr>
        <w:t>0</w:t>
      </w:r>
      <w:r>
        <w:rPr>
          <w:rFonts w:ascii="宋体" w:hAnsi="宋体" w:cs="宋体"/>
          <w:szCs w:val="21"/>
        </w:rPr>
        <w:t>2</w:t>
      </w:r>
      <w:r>
        <w:rPr>
          <w:rFonts w:hint="eastAsia" w:ascii="宋体" w:hAnsi="宋体"/>
          <w:szCs w:val="20"/>
        </w:rPr>
        <w:t>：</w:t>
      </w:r>
      <w:r>
        <w:rPr>
          <w:rFonts w:ascii="宋体" w:hAnsi="宋体" w:cs="宋体"/>
          <w:szCs w:val="21"/>
        </w:rPr>
        <w:t>73-74</w:t>
      </w:r>
      <w:r>
        <w:rPr>
          <w:rFonts w:ascii="宋体" w:cs="宋体"/>
          <w:szCs w:val="21"/>
        </w:rPr>
        <w:t>.</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ascii="宋体"/>
          <w:szCs w:val="20"/>
        </w:rPr>
      </w:pPr>
      <w:r>
        <w:rPr>
          <w:rFonts w:ascii="宋体" w:hAnsi="宋体"/>
          <w:szCs w:val="20"/>
        </w:rPr>
        <w:t xml:space="preserve">[9] </w:t>
      </w:r>
      <w:r>
        <w:rPr>
          <w:rFonts w:hint="eastAsia" w:ascii="宋体" w:hAnsi="宋体"/>
          <w:szCs w:val="20"/>
        </w:rPr>
        <w:t>孙万怀、卢恒飞</w:t>
      </w:r>
      <w:r>
        <w:rPr>
          <w:rFonts w:hint="eastAsia" w:ascii="宋体"/>
          <w:szCs w:val="20"/>
        </w:rPr>
        <w:t>，</w:t>
      </w:r>
      <w:r>
        <w:rPr>
          <w:rFonts w:ascii="宋体"/>
          <w:szCs w:val="20"/>
        </w:rPr>
        <w:t xml:space="preserve"> </w:t>
      </w:r>
      <w:r>
        <w:rPr>
          <w:rFonts w:hint="eastAsia" w:ascii="宋体" w:hAnsi="宋体"/>
          <w:szCs w:val="20"/>
        </w:rPr>
        <w:t>刑法应当理性应对网络谣言</w:t>
      </w:r>
      <w:r>
        <w:rPr>
          <w:rFonts w:ascii="宋体" w:hAnsi="宋体"/>
          <w:szCs w:val="20"/>
        </w:rPr>
        <w:t>———</w:t>
      </w:r>
      <w:r>
        <w:rPr>
          <w:rFonts w:hint="eastAsia" w:ascii="宋体" w:hAnsi="宋体"/>
          <w:szCs w:val="20"/>
        </w:rPr>
        <w:t>对网络造谣司法解释的实证评估</w:t>
      </w:r>
      <w:r>
        <w:rPr>
          <w:rFonts w:ascii="宋体" w:hAnsi="宋体"/>
          <w:szCs w:val="20"/>
        </w:rPr>
        <w:t>[J]</w:t>
      </w:r>
      <w:r>
        <w:rPr>
          <w:rFonts w:hint="eastAsia" w:ascii="宋体" w:hAnsi="宋体"/>
          <w:szCs w:val="20"/>
        </w:rPr>
        <w:t>，法学</w:t>
      </w:r>
      <w:r>
        <w:rPr>
          <w:rFonts w:hint="eastAsia" w:ascii="宋体"/>
          <w:szCs w:val="20"/>
        </w:rPr>
        <w:t>，</w:t>
      </w:r>
      <w:r>
        <w:rPr>
          <w:rFonts w:ascii="宋体" w:hAnsi="宋体"/>
          <w:szCs w:val="20"/>
        </w:rPr>
        <w:t>2013</w:t>
      </w:r>
      <w:r>
        <w:rPr>
          <w:rFonts w:hint="eastAsia" w:ascii="宋体"/>
          <w:szCs w:val="20"/>
        </w:rPr>
        <w:t>，</w:t>
      </w:r>
      <w:r>
        <w:rPr>
          <w:rFonts w:ascii="宋体" w:hAnsi="宋体"/>
          <w:szCs w:val="20"/>
        </w:rPr>
        <w:t>11</w:t>
      </w:r>
      <w:r>
        <w:rPr>
          <w:rFonts w:ascii="宋体"/>
          <w:szCs w:val="20"/>
        </w:rPr>
        <w:t>.</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ascii="宋体"/>
          <w:szCs w:val="20"/>
        </w:rPr>
      </w:pPr>
      <w:r>
        <w:rPr>
          <w:rFonts w:ascii="宋体" w:hAnsi="宋体"/>
          <w:szCs w:val="20"/>
        </w:rPr>
        <w:t xml:space="preserve">[10] </w:t>
      </w:r>
      <w:r>
        <w:rPr>
          <w:rFonts w:hint="eastAsia" w:ascii="宋体" w:hAnsi="宋体"/>
          <w:szCs w:val="20"/>
        </w:rPr>
        <w:t>周静</w:t>
      </w:r>
      <w:r>
        <w:rPr>
          <w:rFonts w:hint="eastAsia" w:ascii="宋体"/>
          <w:szCs w:val="20"/>
        </w:rPr>
        <w:t>，</w:t>
      </w:r>
      <w:r>
        <w:rPr>
          <w:rFonts w:hint="eastAsia" w:ascii="宋体" w:hAnsi="宋体"/>
          <w:szCs w:val="20"/>
        </w:rPr>
        <w:t>论网络言论的法律规制</w:t>
      </w:r>
      <w:r>
        <w:rPr>
          <w:rFonts w:ascii="宋体" w:hAnsi="宋体"/>
          <w:szCs w:val="20"/>
        </w:rPr>
        <w:t>[D]</w:t>
      </w:r>
      <w:r>
        <w:rPr>
          <w:rFonts w:ascii="宋体"/>
          <w:szCs w:val="20"/>
        </w:rPr>
        <w:t xml:space="preserve"> </w:t>
      </w:r>
      <w:r>
        <w:rPr>
          <w:rFonts w:hint="eastAsia" w:ascii="宋体"/>
          <w:szCs w:val="20"/>
        </w:rPr>
        <w:t>，</w:t>
      </w:r>
      <w:r>
        <w:rPr>
          <w:rFonts w:hint="eastAsia" w:ascii="宋体" w:hAnsi="宋体"/>
          <w:szCs w:val="20"/>
        </w:rPr>
        <w:t>郑州大学，</w:t>
      </w:r>
      <w:r>
        <w:rPr>
          <w:rFonts w:ascii="宋体" w:hAnsi="宋体"/>
          <w:szCs w:val="20"/>
        </w:rPr>
        <w:t>2015.</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ascii="宋体"/>
          <w:szCs w:val="20"/>
        </w:rPr>
      </w:pPr>
      <w:r>
        <w:rPr>
          <w:rFonts w:ascii="宋体" w:hAnsi="宋体"/>
          <w:szCs w:val="20"/>
        </w:rPr>
        <w:t xml:space="preserve">[11] </w:t>
      </w:r>
      <w:r>
        <w:rPr>
          <w:rFonts w:hint="eastAsia" w:ascii="宋体" w:hAnsi="宋体"/>
          <w:szCs w:val="20"/>
        </w:rPr>
        <w:t>李璐</w:t>
      </w:r>
      <w:r>
        <w:rPr>
          <w:rFonts w:hint="eastAsia" w:ascii="宋体"/>
          <w:szCs w:val="20"/>
        </w:rPr>
        <w:t>，</w:t>
      </w:r>
      <w:r>
        <w:rPr>
          <w:rFonts w:hint="eastAsia" w:ascii="宋体" w:hAnsi="宋体"/>
          <w:szCs w:val="20"/>
        </w:rPr>
        <w:t>网络舆论的行政法规制研究</w:t>
      </w:r>
      <w:r>
        <w:rPr>
          <w:rFonts w:ascii="宋体" w:hAnsi="宋体"/>
          <w:szCs w:val="20"/>
        </w:rPr>
        <w:t>[D]</w:t>
      </w:r>
      <w:r>
        <w:rPr>
          <w:rFonts w:ascii="宋体"/>
          <w:szCs w:val="20"/>
        </w:rPr>
        <w:t xml:space="preserve"> </w:t>
      </w:r>
      <w:r>
        <w:rPr>
          <w:rFonts w:hint="eastAsia" w:ascii="宋体"/>
          <w:szCs w:val="20"/>
        </w:rPr>
        <w:t>，</w:t>
      </w:r>
      <w:r>
        <w:rPr>
          <w:rFonts w:hint="eastAsia" w:ascii="宋体" w:hAnsi="宋体"/>
          <w:szCs w:val="20"/>
        </w:rPr>
        <w:t>广东外语外贸大学，</w:t>
      </w:r>
      <w:r>
        <w:rPr>
          <w:rFonts w:ascii="宋体" w:hAnsi="宋体"/>
          <w:szCs w:val="20"/>
        </w:rPr>
        <w:t>2014.</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ascii="宋体"/>
          <w:szCs w:val="20"/>
        </w:rPr>
      </w:pPr>
      <w:r>
        <w:rPr>
          <w:rFonts w:ascii="宋体" w:hAnsi="宋体"/>
          <w:szCs w:val="20"/>
        </w:rPr>
        <w:t xml:space="preserve">[12] </w:t>
      </w:r>
      <w:r>
        <w:rPr>
          <w:rFonts w:hint="eastAsia" w:ascii="宋体" w:hAnsi="宋体"/>
          <w:szCs w:val="20"/>
        </w:rPr>
        <w:t>奥托·迈耶</w:t>
      </w:r>
      <w:r>
        <w:rPr>
          <w:rFonts w:hint="eastAsia" w:ascii="宋体"/>
          <w:szCs w:val="20"/>
        </w:rPr>
        <w:t>，</w:t>
      </w:r>
      <w:r>
        <w:rPr>
          <w:rFonts w:hint="eastAsia" w:ascii="宋体" w:hAnsi="宋体"/>
          <w:szCs w:val="20"/>
        </w:rPr>
        <w:t>德国行政法</w:t>
      </w:r>
      <w:r>
        <w:rPr>
          <w:rFonts w:ascii="宋体" w:hAnsi="宋体"/>
          <w:szCs w:val="20"/>
        </w:rPr>
        <w:t>[M]</w:t>
      </w:r>
      <w:r>
        <w:rPr>
          <w:rFonts w:hint="eastAsia" w:ascii="宋体" w:hAnsi="宋体"/>
          <w:szCs w:val="20"/>
        </w:rPr>
        <w:t>，刘飞译，商务印书馆，</w:t>
      </w:r>
      <w:r>
        <w:rPr>
          <w:rFonts w:ascii="宋体" w:hAnsi="宋体"/>
          <w:szCs w:val="20"/>
        </w:rPr>
        <w:t>2013</w:t>
      </w:r>
      <w:r>
        <w:rPr>
          <w:rFonts w:ascii="宋体"/>
          <w:szCs w:val="20"/>
        </w:rPr>
        <w:t>.</w:t>
      </w:r>
    </w:p>
    <w:p>
      <w:pPr>
        <w:keepNext w:val="0"/>
        <w:keepLines w:val="0"/>
        <w:pageBreakBefore w:val="0"/>
        <w:widowControl w:val="0"/>
        <w:kinsoku/>
        <w:wordWrap/>
        <w:overflowPunct/>
        <w:topLinePunct w:val="0"/>
        <w:autoSpaceDE/>
        <w:autoSpaceDN/>
        <w:bidi w:val="0"/>
        <w:adjustRightInd/>
        <w:snapToGrid/>
        <w:spacing w:line="264" w:lineRule="auto"/>
        <w:ind w:left="420" w:leftChars="0" w:right="0" w:rightChars="0" w:hanging="420" w:hangingChars="200"/>
        <w:jc w:val="both"/>
        <w:textAlignment w:val="auto"/>
        <w:outlineLvl w:val="9"/>
        <w:rPr>
          <w:rFonts w:ascii="宋体" w:cs="宋体"/>
          <w:szCs w:val="21"/>
        </w:rPr>
      </w:pPr>
      <w:r>
        <w:rPr>
          <w:rFonts w:ascii="宋体" w:hAnsi="宋体"/>
          <w:szCs w:val="20"/>
        </w:rPr>
        <w:t xml:space="preserve">[13] </w:t>
      </w:r>
      <w:r>
        <w:rPr>
          <w:rFonts w:ascii="宋体" w:hAnsi="宋体" w:cs="宋体"/>
          <w:szCs w:val="21"/>
        </w:rPr>
        <w:t>E.</w:t>
      </w:r>
      <w:r>
        <w:rPr>
          <w:rFonts w:hint="eastAsia" w:ascii="宋体" w:hAnsi="宋体" w:cs="宋体"/>
          <w:szCs w:val="21"/>
        </w:rPr>
        <w:t>博登海默</w:t>
      </w:r>
      <w:r>
        <w:rPr>
          <w:rFonts w:hint="eastAsia" w:ascii="宋体" w:hAnsi="宋体"/>
          <w:szCs w:val="20"/>
        </w:rPr>
        <w:t>，</w:t>
      </w:r>
      <w:r>
        <w:rPr>
          <w:rFonts w:hint="eastAsia" w:ascii="宋体" w:hAnsi="宋体" w:cs="宋体"/>
          <w:szCs w:val="21"/>
        </w:rPr>
        <w:t>法理学</w:t>
      </w:r>
      <w:r>
        <w:rPr>
          <w:rFonts w:ascii="宋体" w:hAnsi="宋体" w:cs="宋体"/>
          <w:szCs w:val="21"/>
        </w:rPr>
        <w:t>—</w:t>
      </w:r>
      <w:r>
        <w:rPr>
          <w:rFonts w:hint="eastAsia" w:ascii="宋体" w:hAnsi="宋体" w:cs="宋体"/>
          <w:szCs w:val="21"/>
        </w:rPr>
        <w:t>法哲学及其方法</w:t>
      </w:r>
      <w:r>
        <w:rPr>
          <w:rFonts w:ascii="宋体" w:hAnsi="宋体"/>
          <w:szCs w:val="20"/>
        </w:rPr>
        <w:t>[M]</w:t>
      </w:r>
      <w:r>
        <w:rPr>
          <w:rFonts w:hint="eastAsia" w:ascii="宋体" w:hAnsi="宋体" w:cs="宋体"/>
          <w:szCs w:val="21"/>
        </w:rPr>
        <w:t>，邓正来、姬敬武译，华夏出版社，</w:t>
      </w:r>
      <w:r>
        <w:rPr>
          <w:rFonts w:ascii="宋体" w:hAnsi="宋体" w:cs="宋体"/>
          <w:szCs w:val="21"/>
        </w:rPr>
        <w:t>1986</w:t>
      </w:r>
      <w:r>
        <w:rPr>
          <w:rFonts w:ascii="宋体" w:cs="宋体"/>
          <w:szCs w:val="21"/>
        </w:rPr>
        <w:t>.</w:t>
      </w:r>
    </w:p>
    <w:p>
      <w:pPr>
        <w:keepNext w:val="0"/>
        <w:keepLines w:val="0"/>
        <w:pageBreakBefore w:val="0"/>
        <w:kinsoku/>
        <w:wordWrap/>
        <w:overflowPunct/>
        <w:topLinePunct w:val="0"/>
        <w:autoSpaceDE/>
        <w:autoSpaceDN/>
        <w:bidi w:val="0"/>
        <w:spacing w:line="240" w:lineRule="auto"/>
        <w:jc w:val="right"/>
        <w:textAlignment w:val="auto"/>
        <w:rPr>
          <w:rFonts w:ascii="宋体" w:cs="宋体"/>
          <w:szCs w:val="21"/>
        </w:rPr>
      </w:pPr>
    </w:p>
    <w:p>
      <w:pPr>
        <w:keepNext w:val="0"/>
        <w:keepLines w:val="0"/>
        <w:pageBreakBefore w:val="0"/>
        <w:kinsoku/>
        <w:wordWrap/>
        <w:overflowPunct/>
        <w:topLinePunct w:val="0"/>
        <w:autoSpaceDE/>
        <w:autoSpaceDN/>
        <w:bidi w:val="0"/>
        <w:spacing w:line="240" w:lineRule="auto"/>
        <w:jc w:val="right"/>
        <w:textAlignment w:val="auto"/>
        <w:rPr>
          <w:rFonts w:ascii="宋体" w:cs="宋体"/>
          <w:szCs w:val="21"/>
        </w:rPr>
      </w:pPr>
    </w:p>
    <w:p>
      <w:pPr>
        <w:keepNext w:val="0"/>
        <w:keepLines w:val="0"/>
        <w:pageBreakBefore w:val="0"/>
        <w:kinsoku/>
        <w:wordWrap/>
        <w:overflowPunct/>
        <w:topLinePunct w:val="0"/>
        <w:autoSpaceDE/>
        <w:autoSpaceDN/>
        <w:bidi w:val="0"/>
        <w:spacing w:line="240" w:lineRule="auto"/>
        <w:jc w:val="right"/>
        <w:textAlignment w:val="auto"/>
        <w:rPr>
          <w:rFonts w:ascii="宋体" w:cs="宋体"/>
          <w:szCs w:val="21"/>
        </w:rPr>
      </w:pPr>
      <w:r>
        <w:rPr>
          <w:rFonts w:hint="eastAsia" w:ascii="宋体" w:hAnsi="宋体" w:cs="宋体"/>
          <w:szCs w:val="21"/>
        </w:rPr>
        <w:t>（责任编辑：袁小冬）</w:t>
      </w:r>
    </w:p>
    <w:p>
      <w:pPr>
        <w:keepNext w:val="0"/>
        <w:keepLines w:val="0"/>
        <w:pageBreakBefore w:val="0"/>
        <w:kinsoku/>
        <w:wordWrap/>
        <w:overflowPunct/>
        <w:topLinePunct w:val="0"/>
        <w:autoSpaceDE/>
        <w:autoSpaceDN/>
        <w:bidi w:val="0"/>
        <w:spacing w:line="240" w:lineRule="auto"/>
        <w:jc w:val="both"/>
        <w:textAlignment w:val="auto"/>
        <w:rPr>
          <w:rFonts w:hint="eastAsia" w:ascii="黑体" w:hAnsi="黑体" w:eastAsia="黑体" w:cs="黑体"/>
          <w:b/>
          <w:bCs/>
          <w:sz w:val="32"/>
          <w:szCs w:val="32"/>
          <w:lang w:val="en-US" w:eastAsia="zh-CN"/>
        </w:rPr>
      </w:pP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论环境信息的公开——以新环境保护法的实施为标准</w:t>
      </w: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bCs/>
          <w:sz w:val="21"/>
          <w:szCs w:val="21"/>
          <w:lang w:val="en-US" w:eastAsia="zh-CN"/>
        </w:rPr>
      </w:pPr>
    </w:p>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刘季平</w:t>
      </w:r>
      <w:r>
        <w:rPr>
          <w:rFonts w:hint="eastAsia" w:ascii="宋体" w:hAnsi="宋体" w:eastAsia="宋体" w:cs="宋体"/>
          <w:b w:val="0"/>
          <w:bCs w:val="0"/>
          <w:color w:val="auto"/>
          <w:kern w:val="2"/>
          <w:sz w:val="21"/>
          <w:szCs w:val="21"/>
          <w:vertAlign w:val="superscript"/>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楷体" w:hAnsi="楷体" w:eastAsia="楷体" w:cs="楷体"/>
          <w:b w:val="0"/>
          <w:bCs w:val="0"/>
          <w:sz w:val="21"/>
          <w:szCs w:val="21"/>
          <w:lang w:val="en-US" w:eastAsia="zh-CN"/>
        </w:rPr>
      </w:pPr>
      <w:r>
        <w:rPr>
          <w:rFonts w:hint="eastAsia" w:ascii="宋体" w:hAnsi="宋体" w:eastAsia="宋体" w:cs="宋体"/>
          <w:b/>
          <w:bCs/>
          <w:sz w:val="21"/>
          <w:szCs w:val="21"/>
          <w:lang w:val="en-US" w:eastAsia="zh-CN"/>
        </w:rPr>
        <w:t>摘</w:t>
      </w:r>
      <w:r>
        <w:rPr>
          <w:rFonts w:hint="eastAsia" w:ascii="宋体" w:hAnsi="宋体" w:cs="宋体"/>
          <w:b/>
          <w:bCs/>
          <w:sz w:val="21"/>
          <w:szCs w:val="21"/>
          <w:lang w:val="en-US" w:eastAsia="zh-CN"/>
        </w:rPr>
        <w:t xml:space="preserve">  </w:t>
      </w:r>
      <w:r>
        <w:rPr>
          <w:rFonts w:hint="eastAsia" w:ascii="宋体" w:hAnsi="宋体" w:eastAsia="宋体" w:cs="宋体"/>
          <w:b/>
          <w:bCs/>
          <w:sz w:val="21"/>
          <w:szCs w:val="21"/>
          <w:lang w:val="en-US" w:eastAsia="zh-CN"/>
        </w:rPr>
        <w:t>要：</w:t>
      </w:r>
      <w:r>
        <w:rPr>
          <w:rFonts w:hint="eastAsia" w:ascii="楷体" w:hAnsi="楷体" w:eastAsia="楷体" w:cs="楷体"/>
          <w:b w:val="0"/>
          <w:bCs w:val="0"/>
          <w:sz w:val="21"/>
          <w:szCs w:val="21"/>
          <w:lang w:val="en-US" w:eastAsia="zh-CN"/>
        </w:rPr>
        <w:t>我国新《环境保护法》于2015年1月1日正式实施，本法新设了“信息公开和公众参与”一章，对环境信息公开的主体、内容以及环境信息公开救济途径等做了相应的规定。新环保法与之前的环境保护法律规范比较，有了许多新的突破：在实体权利方面，赋予了公民、法人和其他组织环境知情权、参与权以及监督权;在环境信息公开主体范围上，增加了“其他负有环境保护监督管理职责的部门”这一主体;在环境信息公开内容上，特别强调了重点排污单位的环境信息公开义务；在环境信息公开救济途径上，则赋予了特定的社会组织提起公益诉讼的权利。我们在赞扬新环保法中新创举的同时，也应当认清我们国家现行环保法存在的不足或是不合理之处。研究、实践环境信息公开制度的基础就是界定环境信息的概念，但是我们的新环保法却没有对环境信息给出一个定义，这样既不利于新环保法的实施，也不利于学者们对环境信息公开制度的研究；虽然新环保法扩大了环境信息公开的主体范围，但是其主体范围仅限于“县级以上”人民政府环境保护主管部门和其他负有环境保护监督管理职责的部门，主体还是过于窄小；并且对于公益诉讼的规定，内容过于简单，很可能导致实践操作难以进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楷体" w:hAnsi="楷体" w:eastAsia="楷体" w:cs="楷体"/>
          <w:sz w:val="21"/>
          <w:szCs w:val="21"/>
          <w:lang w:val="en-US" w:eastAsia="zh-CN"/>
        </w:rPr>
      </w:pPr>
      <w:r>
        <w:rPr>
          <w:rFonts w:hint="eastAsia" w:ascii="宋体" w:hAnsi="宋体" w:eastAsia="宋体" w:cs="宋体"/>
          <w:b/>
          <w:bCs/>
          <w:sz w:val="21"/>
          <w:szCs w:val="21"/>
          <w:lang w:val="en-US" w:eastAsia="zh-CN"/>
        </w:rPr>
        <w:t>关键词</w:t>
      </w:r>
      <w:r>
        <w:rPr>
          <w:rFonts w:hint="eastAsia" w:ascii="宋体" w:hAnsi="宋体" w:eastAsia="宋体" w:cs="宋体"/>
          <w:sz w:val="21"/>
          <w:szCs w:val="21"/>
          <w:lang w:val="en-US" w:eastAsia="zh-CN"/>
        </w:rPr>
        <w:t>：</w:t>
      </w:r>
      <w:r>
        <w:rPr>
          <w:rFonts w:hint="eastAsia" w:ascii="楷体" w:hAnsi="楷体" w:eastAsia="楷体" w:cs="楷体"/>
          <w:sz w:val="21"/>
          <w:szCs w:val="21"/>
          <w:lang w:val="en-US" w:eastAsia="zh-CN"/>
        </w:rPr>
        <w:t>环境信息  环境信息公开  新环境保护法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楷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center"/>
        <w:textAlignment w:val="auto"/>
        <w:outlineLvl w:val="9"/>
        <w:rPr>
          <w:rFonts w:hint="eastAsia" w:ascii="宋体" w:hAnsi="宋体" w:eastAsia="宋体" w:cs="宋体"/>
          <w:color w:val="auto"/>
          <w:sz w:val="21"/>
          <w:szCs w:val="21"/>
        </w:rPr>
      </w:pPr>
      <w:r>
        <w:rPr>
          <w:rFonts w:hint="eastAsia" w:ascii="黑体" w:hAnsi="黑体" w:eastAsia="黑体" w:cs="黑体"/>
          <w:b/>
          <w:bCs/>
          <w:sz w:val="28"/>
          <w:szCs w:val="28"/>
          <w:lang w:val="en-US" w:eastAsia="zh-CN"/>
        </w:rPr>
        <w:t>引言</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0"/>
        <w:jc w:val="both"/>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松花江污染事件、太湖蓝藻事件</w:t>
      </w:r>
      <w:r>
        <w:rPr>
          <w:rFonts w:hint="eastAsia" w:ascii="宋体" w:hAnsi="宋体" w:eastAsia="宋体" w:cs="宋体"/>
          <w:color w:val="auto"/>
          <w:sz w:val="21"/>
          <w:szCs w:val="21"/>
          <w:lang w:eastAsia="zh-CN"/>
        </w:rPr>
        <w:t>、</w:t>
      </w:r>
      <w:r>
        <w:rPr>
          <w:rFonts w:hint="eastAsia" w:ascii="宋体" w:hAnsi="宋体" w:eastAsia="宋体" w:cs="宋体"/>
          <w:b w:val="0"/>
          <w:i w:val="0"/>
          <w:caps w:val="0"/>
          <w:color w:val="auto"/>
          <w:spacing w:val="0"/>
          <w:sz w:val="21"/>
          <w:szCs w:val="21"/>
          <w:shd w:val="clear" w:color="auto" w:fill="FFFFFF"/>
        </w:rPr>
        <w:t>浏阳镉污染事件</w:t>
      </w:r>
      <w:r>
        <w:rPr>
          <w:rFonts w:hint="eastAsia" w:ascii="宋体" w:hAnsi="宋体" w:eastAsia="宋体" w:cs="宋体"/>
          <w:b w:val="0"/>
          <w:i w:val="0"/>
          <w:caps w:val="0"/>
          <w:color w:val="auto"/>
          <w:spacing w:val="0"/>
          <w:sz w:val="21"/>
          <w:szCs w:val="21"/>
          <w:shd w:val="clear" w:color="auto" w:fill="FFFFFF"/>
          <w:lang w:eastAsia="zh-CN"/>
        </w:rPr>
        <w:t>、</w:t>
      </w:r>
      <w:r>
        <w:rPr>
          <w:rFonts w:hint="eastAsia" w:ascii="宋体" w:hAnsi="宋体" w:eastAsia="宋体" w:cs="宋体"/>
          <w:color w:val="auto"/>
          <w:sz w:val="21"/>
          <w:szCs w:val="21"/>
        </w:rPr>
        <w:t>紫金山铜矿大量污水渗漏</w:t>
      </w:r>
      <w:r>
        <w:rPr>
          <w:rFonts w:hint="eastAsia" w:ascii="宋体" w:hAnsi="宋体" w:eastAsia="宋体" w:cs="宋体"/>
          <w:color w:val="auto"/>
          <w:sz w:val="21"/>
          <w:szCs w:val="21"/>
          <w:lang w:val="en-US" w:eastAsia="zh-CN"/>
        </w:rPr>
        <w:t>事件、“PM2.5监测”入国标事件、上海松江死猪事件，历历在目的有关环境污染的事件的发生催促着我们国家对环境保护</w:t>
      </w:r>
      <w:r>
        <w:rPr>
          <w:rFonts w:hint="eastAsia" w:ascii="宋体" w:hAnsi="宋体" w:cs="宋体"/>
          <w:color w:val="auto"/>
          <w:sz w:val="21"/>
          <w:szCs w:val="21"/>
          <w:lang w:val="en-US" w:eastAsia="zh-CN"/>
        </w:rPr>
        <w:t>立法</w:t>
      </w:r>
      <w:r>
        <w:rPr>
          <w:rFonts w:hint="eastAsia" w:ascii="宋体" w:hAnsi="宋体" w:eastAsia="宋体" w:cs="宋体"/>
          <w:color w:val="auto"/>
          <w:sz w:val="21"/>
          <w:szCs w:val="21"/>
          <w:lang w:val="en-US" w:eastAsia="zh-CN"/>
        </w:rPr>
        <w:t>的</w:t>
      </w:r>
      <w:r>
        <w:rPr>
          <w:rFonts w:hint="eastAsia" w:ascii="宋体" w:hAnsi="宋体" w:cs="宋体"/>
          <w:color w:val="auto"/>
          <w:sz w:val="21"/>
          <w:szCs w:val="21"/>
          <w:lang w:val="en-US" w:eastAsia="zh-CN"/>
        </w:rPr>
        <w:t>完</w:t>
      </w:r>
      <w:r>
        <w:rPr>
          <w:rFonts w:hint="eastAsia" w:ascii="宋体" w:hAnsi="宋体" w:eastAsia="宋体" w:cs="宋体"/>
          <w:color w:val="auto"/>
          <w:sz w:val="21"/>
          <w:szCs w:val="21"/>
          <w:lang w:val="en-US" w:eastAsia="zh-CN"/>
        </w:rPr>
        <w:t>善，</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千呼万唤始出来</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的新环境保护法终于在2015年1月1日开始</w:t>
      </w:r>
      <w:r>
        <w:rPr>
          <w:rFonts w:hint="eastAsia" w:ascii="宋体" w:hAnsi="宋体" w:cs="宋体"/>
          <w:color w:val="auto"/>
          <w:sz w:val="21"/>
          <w:szCs w:val="21"/>
          <w:lang w:val="en-US" w:eastAsia="zh-CN"/>
        </w:rPr>
        <w:t>正式</w:t>
      </w:r>
      <w:r>
        <w:rPr>
          <w:rFonts w:hint="eastAsia" w:ascii="宋体" w:hAnsi="宋体" w:eastAsia="宋体" w:cs="宋体"/>
          <w:color w:val="auto"/>
          <w:sz w:val="21"/>
          <w:szCs w:val="21"/>
          <w:lang w:val="en-US" w:eastAsia="zh-CN"/>
        </w:rPr>
        <w:t>实施。</w:t>
      </w:r>
      <w:r>
        <w:rPr>
          <w:rFonts w:hint="eastAsia" w:ascii="宋体" w:hAnsi="宋体" w:cs="宋体"/>
          <w:color w:val="auto"/>
          <w:sz w:val="21"/>
          <w:szCs w:val="21"/>
          <w:lang w:val="en-US" w:eastAsia="zh-CN"/>
        </w:rPr>
        <w:t>民众对于新环保法的出台寄予了高度的重视和厚望，</w:t>
      </w:r>
      <w:r>
        <w:rPr>
          <w:rFonts w:hint="eastAsia" w:ascii="宋体" w:hAnsi="宋体" w:eastAsia="宋体" w:cs="宋体"/>
          <w:color w:val="auto"/>
          <w:sz w:val="21"/>
          <w:szCs w:val="21"/>
          <w:lang w:val="en-US" w:eastAsia="zh-CN"/>
        </w:rPr>
        <w:t>民众对于</w:t>
      </w:r>
      <w:r>
        <w:rPr>
          <w:rFonts w:hint="eastAsia" w:ascii="宋体" w:hAnsi="宋体" w:cs="宋体"/>
          <w:color w:val="auto"/>
          <w:sz w:val="21"/>
          <w:szCs w:val="21"/>
          <w:lang w:val="en-US" w:eastAsia="zh-CN"/>
        </w:rPr>
        <w:t>新</w:t>
      </w:r>
      <w:r>
        <w:rPr>
          <w:rFonts w:hint="eastAsia" w:ascii="宋体" w:hAnsi="宋体" w:eastAsia="宋体" w:cs="宋体"/>
          <w:color w:val="auto"/>
          <w:sz w:val="21"/>
          <w:szCs w:val="21"/>
          <w:lang w:val="en-US" w:eastAsia="zh-CN"/>
        </w:rPr>
        <w:t>环境保护法的高度关注</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不仅是民众环保意识的提高，更是民众法治意识的提高。破坏环境的事件时有发生，如果仅停留在道德的谴责层面的话，我们</w:t>
      </w:r>
      <w:r>
        <w:rPr>
          <w:rFonts w:hint="eastAsia" w:ascii="宋体" w:hAnsi="宋体" w:cs="宋体"/>
          <w:color w:val="auto"/>
          <w:sz w:val="21"/>
          <w:szCs w:val="21"/>
          <w:lang w:val="en-US" w:eastAsia="zh-CN"/>
        </w:rPr>
        <w:t>国家</w:t>
      </w:r>
      <w:r>
        <w:rPr>
          <w:rFonts w:hint="eastAsia" w:ascii="宋体" w:hAnsi="宋体" w:eastAsia="宋体" w:cs="宋体"/>
          <w:color w:val="auto"/>
          <w:sz w:val="21"/>
          <w:szCs w:val="21"/>
          <w:lang w:val="en-US" w:eastAsia="zh-CN"/>
        </w:rPr>
        <w:t>的环境保护是</w:t>
      </w:r>
      <w:r>
        <w:rPr>
          <w:rFonts w:hint="eastAsia" w:ascii="宋体" w:hAnsi="宋体" w:cs="宋体"/>
          <w:color w:val="auto"/>
          <w:sz w:val="21"/>
          <w:szCs w:val="21"/>
          <w:lang w:val="en-US" w:eastAsia="zh-CN"/>
        </w:rPr>
        <w:t>无法长远发展</w:t>
      </w:r>
      <w:r>
        <w:rPr>
          <w:rFonts w:hint="eastAsia" w:ascii="宋体" w:hAnsi="宋体" w:eastAsia="宋体" w:cs="宋体"/>
          <w:color w:val="auto"/>
          <w:sz w:val="21"/>
          <w:szCs w:val="21"/>
          <w:lang w:val="en-US" w:eastAsia="zh-CN"/>
        </w:rPr>
        <w:t>的，</w:t>
      </w:r>
      <w:r>
        <w:rPr>
          <w:rFonts w:hint="eastAsia" w:ascii="宋体" w:hAnsi="宋体" w:cs="宋体"/>
          <w:color w:val="auto"/>
          <w:sz w:val="21"/>
          <w:szCs w:val="21"/>
          <w:lang w:val="en-US" w:eastAsia="zh-CN"/>
        </w:rPr>
        <w:t>而</w:t>
      </w:r>
      <w:r>
        <w:rPr>
          <w:rFonts w:hint="eastAsia" w:ascii="宋体" w:hAnsi="宋体" w:eastAsia="宋体" w:cs="宋体"/>
          <w:color w:val="auto"/>
          <w:sz w:val="21"/>
          <w:szCs w:val="21"/>
          <w:lang w:val="en-US" w:eastAsia="zh-CN"/>
        </w:rPr>
        <w:t>只有</w:t>
      </w:r>
      <w:r>
        <w:rPr>
          <w:rFonts w:hint="eastAsia" w:ascii="宋体" w:hAnsi="宋体" w:cs="宋体"/>
          <w:color w:val="auto"/>
          <w:sz w:val="21"/>
          <w:szCs w:val="21"/>
          <w:lang w:val="en-US" w:eastAsia="zh-CN"/>
        </w:rPr>
        <w:t>更好的</w:t>
      </w:r>
      <w:r>
        <w:rPr>
          <w:rFonts w:hint="eastAsia" w:ascii="宋体" w:hAnsi="宋体" w:eastAsia="宋体" w:cs="宋体"/>
          <w:color w:val="auto"/>
          <w:sz w:val="21"/>
          <w:szCs w:val="21"/>
          <w:lang w:val="en-US" w:eastAsia="zh-CN"/>
        </w:rPr>
        <w:t>利用法律这把利器，</w:t>
      </w:r>
      <w:r>
        <w:rPr>
          <w:rFonts w:hint="eastAsia" w:ascii="宋体" w:hAnsi="宋体" w:cs="宋体"/>
          <w:color w:val="auto"/>
          <w:sz w:val="21"/>
          <w:szCs w:val="21"/>
          <w:lang w:val="en-US" w:eastAsia="zh-CN"/>
        </w:rPr>
        <w:t>通过法律的惩治、教育的功能，让破坏环境的行为人知道，污染环境是要付出高额代价的，只有这样</w:t>
      </w:r>
      <w:r>
        <w:rPr>
          <w:rFonts w:hint="eastAsia" w:ascii="宋体" w:hAnsi="宋体" w:eastAsia="宋体" w:cs="宋体"/>
          <w:color w:val="auto"/>
          <w:sz w:val="21"/>
          <w:szCs w:val="21"/>
          <w:lang w:val="en-US" w:eastAsia="zh-CN"/>
        </w:rPr>
        <w:t>才能</w:t>
      </w:r>
      <w:r>
        <w:rPr>
          <w:rFonts w:hint="eastAsia" w:ascii="宋体" w:hAnsi="宋体" w:cs="宋体"/>
          <w:color w:val="auto"/>
          <w:sz w:val="21"/>
          <w:szCs w:val="21"/>
          <w:lang w:val="en-US" w:eastAsia="zh-CN"/>
        </w:rPr>
        <w:t>真正达到保护环境的效果</w:t>
      </w:r>
      <w:r>
        <w:rPr>
          <w:rFonts w:hint="eastAsia" w:ascii="宋体" w:hAnsi="宋体" w:eastAsia="宋体" w:cs="宋体"/>
          <w:color w:val="auto"/>
          <w:sz w:val="21"/>
          <w:szCs w:val="21"/>
          <w:lang w:val="en-US" w:eastAsia="zh-CN"/>
        </w:rPr>
        <w:t>，我们的生活环境才能持久发展下去。新环保法在立法上虽有突破，</w:t>
      </w:r>
      <w:r>
        <w:rPr>
          <w:rFonts w:hint="eastAsia" w:ascii="宋体" w:hAnsi="宋体" w:cs="宋体"/>
          <w:color w:val="auto"/>
          <w:sz w:val="21"/>
          <w:szCs w:val="21"/>
          <w:lang w:val="en-US" w:eastAsia="zh-CN"/>
        </w:rPr>
        <w:t>但是结合国外环保走在前列的国家的环保法律规范和现今我们国家在环保中的实践经验来看，仍发现我们国家的新环保法一些</w:t>
      </w:r>
      <w:r>
        <w:rPr>
          <w:rFonts w:hint="eastAsia" w:ascii="宋体" w:hAnsi="宋体" w:eastAsia="宋体" w:cs="宋体"/>
          <w:color w:val="auto"/>
          <w:sz w:val="21"/>
          <w:szCs w:val="21"/>
          <w:lang w:val="en-US" w:eastAsia="zh-CN"/>
        </w:rPr>
        <w:t>不足的地方，作为学者，我们更应关注新环保法不足之处，</w:t>
      </w:r>
      <w:r>
        <w:rPr>
          <w:rFonts w:hint="eastAsia" w:ascii="宋体" w:hAnsi="宋体" w:cs="宋体"/>
          <w:color w:val="auto"/>
          <w:sz w:val="21"/>
          <w:szCs w:val="21"/>
          <w:lang w:val="en-US" w:eastAsia="zh-CN"/>
        </w:rPr>
        <w:t>针对不足之处提出批判性的看法，并且</w:t>
      </w:r>
      <w:r>
        <w:rPr>
          <w:rFonts w:hint="eastAsia" w:ascii="宋体" w:hAnsi="宋体" w:eastAsia="宋体" w:cs="宋体"/>
          <w:color w:val="auto"/>
          <w:sz w:val="21"/>
          <w:szCs w:val="21"/>
          <w:lang w:val="en-US" w:eastAsia="zh-CN"/>
        </w:rPr>
        <w:t>提出改善意见，以</w:t>
      </w:r>
      <w:r>
        <w:rPr>
          <w:rFonts w:hint="eastAsia" w:ascii="宋体" w:hAnsi="宋体" w:cs="宋体"/>
          <w:color w:val="auto"/>
          <w:sz w:val="21"/>
          <w:szCs w:val="21"/>
          <w:lang w:val="en-US" w:eastAsia="zh-CN"/>
        </w:rPr>
        <w:t>期</w:t>
      </w:r>
      <w:r>
        <w:rPr>
          <w:rFonts w:hint="eastAsia" w:ascii="宋体" w:hAnsi="宋体" w:eastAsia="宋体" w:cs="宋体"/>
          <w:color w:val="auto"/>
          <w:sz w:val="21"/>
          <w:szCs w:val="21"/>
          <w:lang w:val="en-US" w:eastAsia="zh-CN"/>
        </w:rPr>
        <w:t>在以后的立法中完善我国的环境保护法。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sz w:val="21"/>
          <w:szCs w:val="21"/>
          <w:lang w:val="en-US" w:eastAsia="zh-CN"/>
        </w:rPr>
      </w:pPr>
      <w:r>
        <w:rPr>
          <w:rFonts w:hint="eastAsia" w:ascii="黑体" w:hAnsi="黑体" w:eastAsia="黑体" w:cs="黑体"/>
          <w:b/>
          <w:bCs/>
          <w:sz w:val="28"/>
          <w:szCs w:val="28"/>
          <w:lang w:val="en-US" w:eastAsia="zh-CN"/>
        </w:rPr>
        <w:t>一、环境信息</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sz w:val="21"/>
          <w:szCs w:val="21"/>
          <w:lang w:val="en-US" w:eastAsia="zh-CN"/>
        </w:rPr>
      </w:pPr>
      <w:r>
        <w:rPr>
          <w:rFonts w:hint="eastAsia" w:ascii="宋体" w:hAnsi="宋体" w:eastAsia="宋体" w:cs="宋体"/>
          <w:sz w:val="21"/>
          <w:szCs w:val="21"/>
          <w:lang w:val="en-US" w:eastAsia="zh-CN"/>
        </w:rPr>
        <w:t>在中国古代虽然有“天人合一”的哲学境界，倡导人与自然和谐相处，但是却没有人为保护环境的理念，就更遑论有关环境信息的一字半句的讨论了。20世界90年代，随着人类对于环境保护越来越重视，</w:t>
      </w:r>
      <w:r>
        <w:rPr>
          <w:rFonts w:hint="eastAsia" w:ascii="宋体" w:hAnsi="宋体" w:cs="宋体"/>
          <w:sz w:val="21"/>
          <w:szCs w:val="21"/>
          <w:lang w:val="en-US" w:eastAsia="zh-CN"/>
        </w:rPr>
        <w:t>国际社会</w:t>
      </w:r>
      <w:r>
        <w:rPr>
          <w:rFonts w:hint="eastAsia" w:ascii="宋体" w:hAnsi="宋体" w:eastAsia="宋体" w:cs="宋体"/>
          <w:sz w:val="21"/>
          <w:szCs w:val="21"/>
          <w:lang w:val="en-US" w:eastAsia="zh-CN"/>
        </w:rPr>
        <w:t>才开始真正的探讨有关环境信息的问题。</w:t>
      </w:r>
      <w:r>
        <w:rPr>
          <w:rFonts w:hint="eastAsia" w:ascii="宋体" w:hAnsi="宋体" w:cs="宋体"/>
          <w:sz w:val="21"/>
          <w:szCs w:val="21"/>
          <w:lang w:val="en-US" w:eastAsia="zh-CN"/>
        </w:rPr>
        <w:t>相对与发达国家，我们国家对于环境保护的讨论起步的比较晚，现在虽有一些环境保护的法律、办法、条例，但是立法水平还是跟不是国际的步伐，因此在讨论环境信息问题时常借鉴国外发达国家的一些经验。新环保法中，我们隐隐约约可以从部分法条中找到一些关于环境信息的内容，但是却没有一条特定的法条是用来给“环境信息”下定义的，所在我国在法律层面上的环境信息的概念是不存在的。而我们为什么在开篇强调环境信息，因为它是一个基础性的概念，对于我们从事环境信息公开的研究和新环保法的实施有着不可磨灭的重要作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从最简单的字面意思来解读环境信息</w:t>
      </w:r>
      <w:r>
        <w:rPr>
          <w:rFonts w:hint="eastAsia" w:ascii="宋体" w:hAnsi="宋体" w:cs="宋体"/>
          <w:sz w:val="21"/>
          <w:szCs w:val="21"/>
          <w:lang w:val="en-US" w:eastAsia="zh-CN"/>
        </w:rPr>
        <w:t>，它可以表示为</w:t>
      </w:r>
      <w:r>
        <w:rPr>
          <w:rFonts w:hint="eastAsia" w:ascii="宋体" w:hAnsi="宋体" w:eastAsia="宋体" w:cs="宋体"/>
          <w:sz w:val="21"/>
          <w:szCs w:val="21"/>
          <w:lang w:val="en-US" w:eastAsia="zh-CN"/>
        </w:rPr>
        <w:t>“有关环境的信息”，</w:t>
      </w:r>
      <w:r>
        <w:rPr>
          <w:rFonts w:hint="eastAsia" w:ascii="宋体" w:hAnsi="宋体" w:cs="宋体"/>
          <w:sz w:val="21"/>
          <w:szCs w:val="21"/>
          <w:lang w:val="en-US" w:eastAsia="zh-CN"/>
        </w:rPr>
        <w:t>但是</w:t>
      </w:r>
      <w:r>
        <w:rPr>
          <w:rFonts w:hint="eastAsia" w:ascii="宋体" w:hAnsi="宋体" w:eastAsia="宋体" w:cs="宋体"/>
          <w:sz w:val="21"/>
          <w:szCs w:val="21"/>
          <w:lang w:val="en-US" w:eastAsia="zh-CN"/>
        </w:rPr>
        <w:t>这种解读是不触及概念本身的内涵的，显然无法满足学者们对于环境信息的探究。在世界范围内，基于各种原由，至今对</w:t>
      </w:r>
      <w:r>
        <w:rPr>
          <w:rFonts w:hint="eastAsia" w:ascii="宋体" w:hAnsi="宋体" w:eastAsia="宋体" w:cs="宋体"/>
          <w:color w:val="auto"/>
          <w:sz w:val="21"/>
          <w:szCs w:val="21"/>
          <w:lang w:val="en-US" w:eastAsia="zh-CN"/>
        </w:rPr>
        <w:t>环境信息都没有确定一个统一的、国际一致认可的</w:t>
      </w:r>
      <w:r>
        <w:rPr>
          <w:rFonts w:hint="eastAsia" w:ascii="宋体" w:hAnsi="宋体" w:cs="宋体"/>
          <w:color w:val="auto"/>
          <w:sz w:val="21"/>
          <w:szCs w:val="21"/>
          <w:lang w:val="en-US" w:eastAsia="zh-CN"/>
        </w:rPr>
        <w:t>环境信息的定义，这并不阻碍我们对环境信息的讨论。对于环境信息做了全方位概括的</w:t>
      </w:r>
      <w:r>
        <w:rPr>
          <w:rFonts w:hint="eastAsia" w:ascii="宋体" w:hAnsi="宋体" w:eastAsia="宋体" w:cs="宋体"/>
          <w:color w:val="auto"/>
          <w:sz w:val="21"/>
          <w:szCs w:val="21"/>
          <w:lang w:val="en-US" w:eastAsia="zh-CN"/>
        </w:rPr>
        <w:t>《公众在环境领域获得信息、参与决策和诉诸司法的公约》</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即《奥胡斯公约》中将环境信息定义为：环境信息指下列方面的书面形式、影像形式、音响形式、电子形式或任何其他物质形式的任何信息：（a）各种环境要素的状况，诸如空气和大气层、水、土壤、土地、地形地貌和自然景观、生物多样性及其组成部分，包括基因改变的有机体，以及这些要素的相互作用；（b）正在影响或可能影响以上（a）项范围内环境要素的各种要素，诸如物质、能源、噪音和辐射</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及包括行政措施、环境协定、政策、立法、计划和方案在内的各种活动或措施，以及环境决策中所使用的成本效益分析和其他经济分析及假设</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c）正在或可能受环境要素状况影响或通过这些要素受以上（b）项所指因素、活动或措施影响的人类健康和安全状况、人类生活条件、文化遗址和建筑结构。1998年6月25日，联合国欧洲经济委员会在第四次部长级会议上通过了《环境问题上获得信息公众参与决策和诉诸法律的公约》，公约于2001年10月31日生。</w:t>
      </w:r>
      <w:r>
        <w:rPr>
          <w:rFonts w:hint="eastAsia" w:ascii="宋体" w:hAnsi="宋体" w:cs="宋体"/>
          <w:color w:val="auto"/>
          <w:sz w:val="21"/>
          <w:szCs w:val="21"/>
          <w:lang w:val="en-US" w:eastAsia="zh-CN"/>
        </w:rPr>
        <w:t>针对《奥胡斯公约》对环境信息列举式的定义，不得不承认其范围的广泛性。深受《奥胡斯公约》影响的英国也在一定层面上放映了“奥胡斯式”定义，其</w:t>
      </w:r>
      <w:r>
        <w:rPr>
          <w:rFonts w:hint="eastAsia" w:ascii="宋体" w:hAnsi="宋体" w:eastAsia="宋体" w:cs="宋体"/>
          <w:color w:val="auto"/>
          <w:sz w:val="21"/>
          <w:szCs w:val="21"/>
          <w:lang w:val="en-US" w:eastAsia="zh-CN"/>
        </w:rPr>
        <w:t>在英国国内法《环境信息条例》（2004）中第二条，也对环境信息进行了宽泛的定义：</w:t>
      </w:r>
      <w:r>
        <w:rPr>
          <w:rFonts w:hint="eastAsia" w:ascii="宋体" w:hAnsi="宋体" w:eastAsia="宋体" w:cs="宋体"/>
          <w:color w:val="auto"/>
          <w:sz w:val="21"/>
          <w:szCs w:val="21"/>
        </w:rPr>
        <w:t>任何以书面、视听、口头、电子或任何其他物质形式存在的关于下列事项的任何信息：ａ</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各种环境要素的状况；ｂ</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正在影响或可能影响上述ａ项范围内环境要素的物质、能量、噪声和辐射等各种要素；ｃ</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正在影响或可能影响上述ａ项和ｂ项要素的政策、法律、规划、案、环境协议和活动；ｄ．环境法律的实施报告；ｅ</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关于在ｃ项框架内所采取措施和活动决策的成本－效益和其他经济分析</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ｆ</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受到ａ、ｂ、ｃ项影响的人类健康和安全的状况、人类生活条件、文化遗址和建筑结构。</w:t>
      </w:r>
      <w:r>
        <w:rPr>
          <w:rFonts w:hint="eastAsia" w:ascii="宋体" w:hAnsi="宋体" w:eastAsia="宋体" w:cs="宋体"/>
          <w:color w:val="auto"/>
          <w:sz w:val="21"/>
          <w:szCs w:val="21"/>
          <w:lang w:val="en-US" w:eastAsia="zh-CN"/>
        </w:rPr>
        <w:t>英国</w:t>
      </w:r>
      <w:r>
        <w:rPr>
          <w:rFonts w:hint="eastAsia" w:ascii="宋体" w:hAnsi="宋体" w:cs="宋体"/>
          <w:color w:val="auto"/>
          <w:sz w:val="21"/>
          <w:szCs w:val="21"/>
          <w:lang w:val="en-US" w:eastAsia="zh-CN"/>
        </w:rPr>
        <w:t>法律</w:t>
      </w:r>
      <w:r>
        <w:rPr>
          <w:rFonts w:hint="eastAsia" w:ascii="宋体" w:hAnsi="宋体" w:eastAsia="宋体" w:cs="宋体"/>
          <w:color w:val="auto"/>
          <w:sz w:val="21"/>
          <w:szCs w:val="21"/>
          <w:lang w:val="en-US" w:eastAsia="zh-CN"/>
        </w:rPr>
        <w:t>对于环境信息的概念解释</w:t>
      </w:r>
      <w:r>
        <w:rPr>
          <w:rFonts w:hint="eastAsia" w:ascii="宋体" w:hAnsi="宋体" w:cs="宋体"/>
          <w:color w:val="auto"/>
          <w:sz w:val="21"/>
          <w:szCs w:val="21"/>
          <w:lang w:val="en-US" w:eastAsia="zh-CN"/>
        </w:rPr>
        <w:t>所包括的内容也算比较</w:t>
      </w:r>
      <w:r>
        <w:rPr>
          <w:rFonts w:hint="eastAsia" w:ascii="宋体" w:hAnsi="宋体" w:eastAsia="宋体" w:cs="宋体"/>
          <w:color w:val="auto"/>
          <w:sz w:val="21"/>
          <w:szCs w:val="21"/>
          <w:lang w:val="en-US" w:eastAsia="zh-CN"/>
        </w:rPr>
        <w:t>广泛，并</w:t>
      </w:r>
      <w:r>
        <w:rPr>
          <w:rFonts w:hint="eastAsia" w:ascii="宋体" w:hAnsi="宋体" w:cs="宋体"/>
          <w:color w:val="auto"/>
          <w:sz w:val="21"/>
          <w:szCs w:val="21"/>
          <w:lang w:val="en-US" w:eastAsia="zh-CN"/>
        </w:rPr>
        <w:t>且内容与内容之间</w:t>
      </w:r>
      <w:r>
        <w:rPr>
          <w:rFonts w:hint="eastAsia" w:ascii="宋体" w:hAnsi="宋体" w:eastAsia="宋体" w:cs="宋体"/>
          <w:color w:val="auto"/>
          <w:sz w:val="21"/>
          <w:szCs w:val="21"/>
          <w:lang w:val="en-US" w:eastAsia="zh-CN"/>
        </w:rPr>
        <w:t>具有层次性，</w:t>
      </w:r>
      <w:r>
        <w:rPr>
          <w:rFonts w:hint="eastAsia" w:ascii="宋体" w:hAnsi="宋体" w:cs="宋体"/>
          <w:color w:val="auto"/>
          <w:sz w:val="21"/>
          <w:szCs w:val="21"/>
          <w:lang w:val="en-US" w:eastAsia="zh-CN"/>
        </w:rPr>
        <w:t>即后一</w:t>
      </w:r>
      <w:r>
        <w:rPr>
          <w:rFonts w:hint="eastAsia" w:ascii="宋体" w:hAnsi="宋体" w:eastAsia="宋体" w:cs="宋体"/>
          <w:color w:val="auto"/>
          <w:sz w:val="21"/>
          <w:szCs w:val="21"/>
          <w:lang w:val="en-US" w:eastAsia="zh-CN"/>
        </w:rPr>
        <w:t>条款是前一条款的递进</w:t>
      </w:r>
      <w:r>
        <w:rPr>
          <w:rFonts w:hint="eastAsia" w:ascii="宋体" w:hAnsi="宋体" w:cs="宋体"/>
          <w:color w:val="auto"/>
          <w:sz w:val="21"/>
          <w:szCs w:val="21"/>
          <w:lang w:val="en-US" w:eastAsia="zh-CN"/>
        </w:rPr>
        <w:t>。前面两个法律定义相比较，可以看出英国队环境信息的定义更具有操作性。同时可以肯定的是，</w:t>
      </w:r>
      <w:r>
        <w:rPr>
          <w:rFonts w:hint="eastAsia" w:ascii="宋体" w:hAnsi="宋体" w:eastAsia="宋体" w:cs="宋体"/>
          <w:color w:val="auto"/>
          <w:sz w:val="21"/>
          <w:szCs w:val="21"/>
          <w:lang w:val="en-US" w:eastAsia="zh-CN"/>
        </w:rPr>
        <w:t>两种定义都触及到了环境信息</w:t>
      </w:r>
      <w:r>
        <w:rPr>
          <w:rFonts w:hint="eastAsia" w:ascii="宋体" w:hAnsi="宋体" w:eastAsia="宋体" w:cs="宋体"/>
          <w:sz w:val="21"/>
          <w:szCs w:val="21"/>
          <w:lang w:val="en-US" w:eastAsia="zh-CN"/>
        </w:rPr>
        <w:t>的内涵，较之字面意思，让人能更直观的了解环境信息的内容。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国内学术界也有许多的学者对环境信息进行定义，众说纷纭，难以形成固定的形式与内容。难能可贵的是，</w:t>
      </w:r>
      <w:r>
        <w:rPr>
          <w:rFonts w:hint="eastAsia" w:ascii="宋体" w:hAnsi="宋体" w:eastAsia="宋体" w:cs="宋体"/>
          <w:sz w:val="21"/>
          <w:szCs w:val="21"/>
          <w:lang w:val="en-US" w:eastAsia="zh-CN"/>
        </w:rPr>
        <w:t>我国《环境信息公开办法》（试行）（2008.5.1）第二条也对环境信息进行了定义，不同的是它将环境信息分类，分为政府环境信息和企业环境信息，前者是指环保部门在履行环境保护职责中制作或者获取的，以一定形式记录、保存的信息；后者是指企业以一定形式记录、保存的，与企业经营活动产生的环境影响和企业环境行为有关的信息。虽然这个定义是比较正式的，但是依然可以看出，定义比较笼统，令人难以界定环境信息的内容。</w:t>
      </w:r>
      <w:r>
        <w:rPr>
          <w:rFonts w:hint="eastAsia" w:ascii="宋体" w:hAnsi="宋体" w:cs="宋体"/>
          <w:sz w:val="21"/>
          <w:szCs w:val="21"/>
          <w:lang w:val="en-US" w:eastAsia="zh-CN"/>
        </w:rPr>
        <w:t>对于环境信息的讨论时很有必要的，这是环境信息公开制度的基础，是指导环境保护的方向性概念，所以不能将其视为可有可无的概念。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sz w:val="21"/>
          <w:szCs w:val="21"/>
          <w:lang w:val="en-US" w:eastAsia="zh-CN"/>
        </w:rPr>
      </w:pPr>
      <w:r>
        <w:rPr>
          <w:rFonts w:hint="eastAsia" w:ascii="黑体" w:hAnsi="黑体" w:eastAsia="黑体" w:cs="黑体"/>
          <w:b/>
          <w:bCs/>
          <w:sz w:val="28"/>
          <w:szCs w:val="28"/>
          <w:lang w:val="en-US" w:eastAsia="zh-CN"/>
        </w:rPr>
        <w:t>二、环境信息公开制度</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当人们认识到环境信息对人类生活、发展的重要性之后，越来越多的人要求将环境信息公开出来，随之就产</w:t>
      </w:r>
      <w:r>
        <w:rPr>
          <w:rFonts w:hint="eastAsia" w:ascii="宋体" w:hAnsi="宋体" w:eastAsia="宋体" w:cs="宋体"/>
          <w:color w:val="auto"/>
          <w:sz w:val="21"/>
          <w:szCs w:val="21"/>
          <w:lang w:val="en-US" w:eastAsia="zh-CN"/>
        </w:rPr>
        <w:t>生了环境信息公开制度。环境信息公开是指依据和尊重公众知情权，政府和企业以及其他社会行为主体向公众通报和公开各自的环境行为以利于公众参与和监督。环境</w:t>
      </w:r>
      <w:r>
        <w:rPr>
          <w:rFonts w:hint="eastAsia" w:ascii="宋体" w:hAnsi="宋体" w:cs="宋体"/>
          <w:color w:val="auto"/>
          <w:sz w:val="21"/>
          <w:szCs w:val="21"/>
          <w:lang w:val="en-US" w:eastAsia="zh-CN"/>
        </w:rPr>
        <w:t>信息</w:t>
      </w:r>
      <w:r>
        <w:rPr>
          <w:rFonts w:hint="eastAsia" w:ascii="宋体" w:hAnsi="宋体" w:eastAsia="宋体" w:cs="宋体"/>
          <w:color w:val="auto"/>
          <w:sz w:val="21"/>
          <w:szCs w:val="21"/>
          <w:lang w:val="en-US" w:eastAsia="zh-CN"/>
        </w:rPr>
        <w:t>公开制度之所以在世界范围内盛行，究其主要原因有两个：环境信息公开制度是</w:t>
      </w:r>
      <w:r>
        <w:rPr>
          <w:rFonts w:hint="eastAsia" w:ascii="宋体" w:hAnsi="宋体" w:eastAsia="宋体" w:cs="宋体"/>
          <w:sz w:val="21"/>
          <w:szCs w:val="21"/>
          <w:lang w:val="en-US" w:eastAsia="zh-CN"/>
        </w:rPr>
        <w:t>保护公民环境知情权的重要手段；以及环境物品的公共性理论得到世界社会普遍的接受与倡导。</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（一）</w:t>
      </w:r>
      <w:r>
        <w:rPr>
          <w:rFonts w:hint="eastAsia" w:ascii="宋体" w:hAnsi="宋体" w:eastAsia="宋体" w:cs="宋体"/>
          <w:b/>
          <w:bCs/>
          <w:sz w:val="24"/>
          <w:szCs w:val="24"/>
          <w:lang w:val="en-US" w:eastAsia="zh-CN"/>
        </w:rPr>
        <w:t>环境知情权</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进入高速发达的信息时代，</w:t>
      </w:r>
      <w:r>
        <w:rPr>
          <w:rFonts w:hint="eastAsia" w:ascii="宋体" w:hAnsi="宋体" w:cs="宋体"/>
          <w:sz w:val="21"/>
          <w:szCs w:val="21"/>
          <w:lang w:val="en-US" w:eastAsia="zh-CN"/>
        </w:rPr>
        <w:t>不仅带来了</w:t>
      </w:r>
      <w:r>
        <w:rPr>
          <w:rFonts w:hint="eastAsia" w:ascii="宋体" w:hAnsi="宋体" w:eastAsia="宋体" w:cs="宋体"/>
          <w:sz w:val="21"/>
          <w:szCs w:val="21"/>
          <w:lang w:val="en-US" w:eastAsia="zh-CN"/>
        </w:rPr>
        <w:t>经济上的快速发展，还带来了环境日益恶化的局面</w:t>
      </w:r>
      <w:r>
        <w:rPr>
          <w:rFonts w:hint="eastAsia" w:ascii="宋体" w:hAnsi="宋体" w:cs="宋体"/>
          <w:sz w:val="21"/>
          <w:szCs w:val="21"/>
          <w:lang w:val="en-US" w:eastAsia="zh-CN"/>
        </w:rPr>
        <w:t>。面对日益恶化的生活、生产环境，民众</w:t>
      </w:r>
      <w:r>
        <w:rPr>
          <w:rFonts w:hint="eastAsia" w:ascii="宋体" w:hAnsi="宋体" w:eastAsia="宋体" w:cs="宋体"/>
          <w:sz w:val="21"/>
          <w:szCs w:val="21"/>
          <w:lang w:val="en-US" w:eastAsia="zh-CN"/>
        </w:rPr>
        <w:t>愈加关心自身身处的环境状况</w:t>
      </w:r>
      <w:r>
        <w:rPr>
          <w:rFonts w:hint="eastAsia" w:ascii="宋体" w:hAnsi="宋体" w:cs="宋体"/>
          <w:sz w:val="21"/>
          <w:szCs w:val="21"/>
          <w:lang w:val="en-US" w:eastAsia="zh-CN"/>
        </w:rPr>
        <w:t>，而且愈来愈多的人知道通过法律的手段来获得环境信息，从而维护自己的合法权益</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通过法律的手段来获取环境信息并不是一个陌生的东西，其在宪法上已经有体现，我国</w:t>
      </w:r>
      <w:r>
        <w:rPr>
          <w:rFonts w:hint="eastAsia" w:ascii="宋体" w:hAnsi="宋体" w:eastAsia="宋体" w:cs="宋体"/>
          <w:sz w:val="21"/>
          <w:szCs w:val="21"/>
          <w:lang w:val="en-US" w:eastAsia="zh-CN"/>
        </w:rPr>
        <w:t>宪法赋予公民知情权</w:t>
      </w:r>
      <w:r>
        <w:rPr>
          <w:rFonts w:hint="eastAsia" w:ascii="宋体" w:hAnsi="宋体" w:cs="宋体"/>
          <w:sz w:val="21"/>
          <w:szCs w:val="21"/>
          <w:lang w:val="en-US" w:eastAsia="zh-CN"/>
        </w:rPr>
        <w:t>，而知情权的内容不仅仅局限于传统的观点了</w:t>
      </w:r>
      <w:r>
        <w:rPr>
          <w:rFonts w:hint="eastAsia" w:ascii="宋体" w:hAnsi="宋体" w:eastAsia="宋体" w:cs="宋体"/>
          <w:sz w:val="21"/>
          <w:szCs w:val="21"/>
          <w:lang w:val="en-US" w:eastAsia="zh-CN"/>
        </w:rPr>
        <w:t>，从</w:t>
      </w:r>
      <w:r>
        <w:rPr>
          <w:rFonts w:hint="eastAsia" w:ascii="宋体" w:hAnsi="宋体" w:cs="宋体"/>
          <w:sz w:val="21"/>
          <w:szCs w:val="21"/>
          <w:lang w:val="en-US" w:eastAsia="zh-CN"/>
        </w:rPr>
        <w:t>一般的公民信息内容</w:t>
      </w:r>
      <w:r>
        <w:rPr>
          <w:rFonts w:hint="eastAsia" w:ascii="宋体" w:hAnsi="宋体" w:eastAsia="宋体" w:cs="宋体"/>
          <w:sz w:val="21"/>
          <w:szCs w:val="21"/>
          <w:lang w:val="en-US" w:eastAsia="zh-CN"/>
        </w:rPr>
        <w:t>延伸</w:t>
      </w:r>
      <w:r>
        <w:rPr>
          <w:rFonts w:hint="eastAsia" w:ascii="宋体" w:hAnsi="宋体" w:cs="宋体"/>
          <w:sz w:val="21"/>
          <w:szCs w:val="21"/>
          <w:lang w:val="en-US" w:eastAsia="zh-CN"/>
        </w:rPr>
        <w:t>到公民对自身生活环境</w:t>
      </w:r>
      <w:r>
        <w:rPr>
          <w:rFonts w:hint="eastAsia" w:ascii="宋体" w:hAnsi="宋体" w:eastAsia="宋体" w:cs="宋体"/>
          <w:sz w:val="21"/>
          <w:szCs w:val="21"/>
          <w:lang w:val="en-US" w:eastAsia="zh-CN"/>
        </w:rPr>
        <w:t>的知情权；并且随着人权在国际社会上的发展，内容</w:t>
      </w:r>
      <w:r>
        <w:rPr>
          <w:rFonts w:hint="eastAsia" w:ascii="宋体" w:hAnsi="宋体" w:cs="宋体"/>
          <w:sz w:val="21"/>
          <w:szCs w:val="21"/>
          <w:lang w:val="en-US" w:eastAsia="zh-CN"/>
        </w:rPr>
        <w:t>上</w:t>
      </w:r>
      <w:r>
        <w:rPr>
          <w:rFonts w:hint="eastAsia" w:ascii="宋体" w:hAnsi="宋体" w:eastAsia="宋体" w:cs="宋体"/>
          <w:sz w:val="21"/>
          <w:szCs w:val="21"/>
          <w:lang w:val="en-US" w:eastAsia="zh-CN"/>
        </w:rPr>
        <w:t>也有了</w:t>
      </w:r>
      <w:r>
        <w:rPr>
          <w:rFonts w:hint="eastAsia" w:ascii="宋体" w:hAnsi="宋体" w:cs="宋体"/>
          <w:sz w:val="21"/>
          <w:szCs w:val="21"/>
          <w:lang w:val="en-US" w:eastAsia="zh-CN"/>
        </w:rPr>
        <w:t>扩张</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其中新发展的一项权利即</w:t>
      </w:r>
      <w:r>
        <w:rPr>
          <w:rFonts w:hint="eastAsia" w:ascii="宋体" w:hAnsi="宋体" w:eastAsia="宋体" w:cs="宋体"/>
          <w:sz w:val="21"/>
          <w:szCs w:val="21"/>
          <w:lang w:val="en-US" w:eastAsia="zh-CN"/>
        </w:rPr>
        <w:t>环境权，</w:t>
      </w:r>
      <w:r>
        <w:rPr>
          <w:rFonts w:hint="eastAsia" w:ascii="宋体" w:hAnsi="宋体" w:cs="宋体"/>
          <w:sz w:val="21"/>
          <w:szCs w:val="21"/>
          <w:lang w:val="en-US" w:eastAsia="zh-CN"/>
        </w:rPr>
        <w:t>国际社会普遍认同，随着世界环境状况的恶化，公民人权也应当表现在公民应当享有身处于适合人类生存的环境的权利，而其中</w:t>
      </w:r>
      <w:r>
        <w:rPr>
          <w:rFonts w:hint="eastAsia" w:ascii="宋体" w:hAnsi="宋体" w:eastAsia="宋体" w:cs="宋体"/>
          <w:sz w:val="21"/>
          <w:szCs w:val="21"/>
          <w:lang w:val="en-US" w:eastAsia="zh-CN"/>
        </w:rPr>
        <w:t>环境知情权就是环境权中的一个子内容</w:t>
      </w:r>
      <w:r>
        <w:rPr>
          <w:rFonts w:hint="eastAsia" w:ascii="宋体" w:hAnsi="宋体" w:cs="宋体"/>
          <w:sz w:val="21"/>
          <w:szCs w:val="21"/>
          <w:lang w:val="en-US" w:eastAsia="zh-CN"/>
        </w:rPr>
        <w:t>，环境知情权是实现公民</w:t>
      </w:r>
      <w:r>
        <w:rPr>
          <w:rFonts w:hint="eastAsia" w:ascii="宋体" w:hAnsi="宋体" w:cs="宋体"/>
          <w:color w:val="auto"/>
          <w:sz w:val="21"/>
          <w:szCs w:val="21"/>
          <w:lang w:val="en-US" w:eastAsia="zh-CN"/>
        </w:rPr>
        <w:t>环境权的一个内在权利</w:t>
      </w:r>
      <w:r>
        <w:rPr>
          <w:rFonts w:hint="eastAsia" w:ascii="宋体" w:hAnsi="宋体" w:eastAsia="宋体" w:cs="宋体"/>
          <w:color w:val="auto"/>
          <w:sz w:val="21"/>
          <w:szCs w:val="21"/>
          <w:lang w:val="en-US" w:eastAsia="zh-CN"/>
        </w:rPr>
        <w:t>。在环境权的范围内，环境知情权可以表述为</w:t>
      </w:r>
      <w:r>
        <w:rPr>
          <w:rFonts w:hint="eastAsia" w:ascii="宋体" w:hAnsi="宋体" w:eastAsia="宋体" w:cs="宋体"/>
          <w:color w:val="auto"/>
          <w:sz w:val="21"/>
          <w:szCs w:val="21"/>
        </w:rPr>
        <w:t>公民对本国乃至世界的环境状况</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国家的环境管理状况以及自身的环境状况等有关信息获取的权利</w:t>
      </w: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这种表述是比较符合环境权的内在属性的。在此作一个假设</w:t>
      </w:r>
      <w:r>
        <w:rPr>
          <w:rFonts w:hint="eastAsia" w:ascii="宋体" w:hAnsi="宋体" w:eastAsia="宋体" w:cs="宋体"/>
          <w:color w:val="auto"/>
          <w:sz w:val="21"/>
          <w:szCs w:val="21"/>
          <w:lang w:val="en-US" w:eastAsia="zh-CN"/>
        </w:rPr>
        <w:t>，如果将环境知情权视为人权二级内容，</w:t>
      </w:r>
      <w:r>
        <w:rPr>
          <w:rFonts w:hint="eastAsia" w:ascii="宋体" w:hAnsi="宋体" w:cs="宋体"/>
          <w:color w:val="auto"/>
          <w:sz w:val="21"/>
          <w:szCs w:val="21"/>
          <w:lang w:val="en-US" w:eastAsia="zh-CN"/>
        </w:rPr>
        <w:t>那么根据环境知情权的重要性，导致了它</w:t>
      </w:r>
      <w:r>
        <w:rPr>
          <w:rFonts w:hint="eastAsia" w:ascii="宋体" w:hAnsi="宋体" w:eastAsia="宋体" w:cs="宋体"/>
          <w:color w:val="auto"/>
          <w:sz w:val="21"/>
          <w:szCs w:val="21"/>
          <w:lang w:val="en-US" w:eastAsia="zh-CN"/>
        </w:rPr>
        <w:t>不能仅局限的放在“办法、条例”</w:t>
      </w:r>
      <w:r>
        <w:rPr>
          <w:rFonts w:hint="eastAsia" w:ascii="宋体" w:hAnsi="宋体" w:eastAsia="宋体" w:cs="宋体"/>
          <w:sz w:val="21"/>
          <w:szCs w:val="21"/>
          <w:lang w:val="en-US" w:eastAsia="zh-CN"/>
        </w:rPr>
        <w:t>中进行保护，而应该提高它的法律位阶</w:t>
      </w:r>
      <w:r>
        <w:rPr>
          <w:rFonts w:hint="eastAsia" w:ascii="宋体" w:hAnsi="宋体" w:cs="宋体"/>
          <w:sz w:val="21"/>
          <w:szCs w:val="21"/>
          <w:lang w:val="en-US" w:eastAsia="zh-CN"/>
        </w:rPr>
        <w:t>，实现它的法律价值</w:t>
      </w:r>
      <w:r>
        <w:rPr>
          <w:rFonts w:hint="eastAsia" w:ascii="宋体" w:hAnsi="宋体" w:eastAsia="宋体" w:cs="宋体"/>
          <w:sz w:val="21"/>
          <w:szCs w:val="21"/>
          <w:lang w:val="en-US" w:eastAsia="zh-CN"/>
        </w:rPr>
        <w:t>。正是认识到了这一点的重要性，我国的新</w:t>
      </w:r>
      <w:r>
        <w:rPr>
          <w:rFonts w:hint="eastAsia" w:ascii="宋体" w:hAnsi="宋体" w:cs="宋体"/>
          <w:sz w:val="21"/>
          <w:szCs w:val="21"/>
          <w:lang w:val="en-US" w:eastAsia="zh-CN"/>
        </w:rPr>
        <w:t>环保法</w:t>
      </w:r>
      <w:r>
        <w:rPr>
          <w:rFonts w:hint="eastAsia" w:ascii="宋体" w:hAnsi="宋体" w:eastAsia="宋体" w:cs="宋体"/>
          <w:sz w:val="21"/>
          <w:szCs w:val="21"/>
          <w:lang w:val="en-US" w:eastAsia="zh-CN"/>
        </w:rPr>
        <w:t>才将环境知情权规定在本法的第五章信息公开和公众参与的篇幅里面，提高了它的法律位阶，增强它的透明度。</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（二）</w:t>
      </w:r>
      <w:r>
        <w:rPr>
          <w:rFonts w:hint="eastAsia" w:ascii="宋体" w:hAnsi="宋体" w:eastAsia="宋体" w:cs="宋体"/>
          <w:b/>
          <w:bCs/>
          <w:sz w:val="24"/>
          <w:szCs w:val="24"/>
          <w:lang w:val="en-US" w:eastAsia="zh-CN"/>
        </w:rPr>
        <w:t>环境物品的公共性</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中国有一句俗语叫“各人自扫门前雪，莫管他人瓦上霜”，意思是安分守己，不要多管闲事</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但是这样的处世态度放在解决环境</w:t>
      </w:r>
      <w:r>
        <w:rPr>
          <w:rFonts w:hint="eastAsia" w:ascii="宋体" w:hAnsi="宋体" w:cs="宋体"/>
          <w:sz w:val="21"/>
          <w:szCs w:val="21"/>
          <w:lang w:val="en-US" w:eastAsia="zh-CN"/>
        </w:rPr>
        <w:t>污染</w:t>
      </w:r>
      <w:r>
        <w:rPr>
          <w:rFonts w:hint="eastAsia" w:ascii="宋体" w:hAnsi="宋体" w:eastAsia="宋体" w:cs="宋体"/>
          <w:sz w:val="21"/>
          <w:szCs w:val="21"/>
          <w:lang w:val="en-US" w:eastAsia="zh-CN"/>
        </w:rPr>
        <w:t>问题上的话，是万万行不通的，也是万万不能有的思想，因为环境问题它有其全球性或是区域性的特点。人虽然有地域之分，但是我们都生活在同一片天空下，呼吸同样的空气，</w:t>
      </w:r>
      <w:r>
        <w:rPr>
          <w:rFonts w:hint="eastAsia" w:ascii="宋体" w:hAnsi="宋体" w:cs="宋体"/>
          <w:sz w:val="21"/>
          <w:szCs w:val="21"/>
          <w:lang w:val="en-US" w:eastAsia="zh-CN"/>
        </w:rPr>
        <w:t>使用</w:t>
      </w:r>
      <w:r>
        <w:rPr>
          <w:rFonts w:hint="eastAsia" w:ascii="宋体" w:hAnsi="宋体" w:eastAsia="宋体" w:cs="宋体"/>
          <w:sz w:val="21"/>
          <w:szCs w:val="21"/>
          <w:lang w:val="en-US" w:eastAsia="zh-CN"/>
        </w:rPr>
        <w:t>同一片水域，而这些水、空气等都具有流动性，我们</w:t>
      </w:r>
      <w:r>
        <w:rPr>
          <w:rFonts w:hint="eastAsia" w:ascii="宋体" w:hAnsi="宋体" w:cs="宋体"/>
          <w:sz w:val="21"/>
          <w:szCs w:val="21"/>
          <w:lang w:val="en-US" w:eastAsia="zh-CN"/>
        </w:rPr>
        <w:t>可以说是</w:t>
      </w:r>
      <w:r>
        <w:rPr>
          <w:rFonts w:hint="eastAsia" w:ascii="宋体" w:hAnsi="宋体" w:eastAsia="宋体" w:cs="宋体"/>
          <w:sz w:val="21"/>
          <w:szCs w:val="21"/>
          <w:lang w:val="en-US" w:eastAsia="zh-CN"/>
        </w:rPr>
        <w:t>共同使用、共同拥有这些环境物品</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正是因为这样，导致保护环境成为了一种</w:t>
      </w:r>
      <w:r>
        <w:rPr>
          <w:rFonts w:hint="eastAsia" w:ascii="宋体" w:hAnsi="宋体" w:cs="宋体"/>
          <w:sz w:val="21"/>
          <w:szCs w:val="21"/>
          <w:lang w:val="en-US" w:eastAsia="zh-CN"/>
        </w:rPr>
        <w:t>是</w:t>
      </w:r>
      <w:r>
        <w:rPr>
          <w:rFonts w:hint="eastAsia" w:ascii="宋体" w:hAnsi="宋体" w:eastAsia="宋体" w:cs="宋体"/>
          <w:sz w:val="21"/>
          <w:szCs w:val="21"/>
          <w:lang w:val="en-US" w:eastAsia="zh-CN"/>
        </w:rPr>
        <w:t>为了公众利益而为之的行为，是具有公益性质</w:t>
      </w:r>
      <w:r>
        <w:rPr>
          <w:rFonts w:hint="eastAsia" w:ascii="宋体" w:hAnsi="宋体" w:cs="宋体"/>
          <w:sz w:val="21"/>
          <w:szCs w:val="21"/>
          <w:lang w:val="en-US" w:eastAsia="zh-CN"/>
        </w:rPr>
        <w:t>的行为</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这些环境物品的特性，致使我们不能只顾自己，而是应该联合起来，对我们共有的公共性环境物品进行保护。</w:t>
      </w:r>
      <w:r>
        <w:rPr>
          <w:rFonts w:hint="eastAsia" w:ascii="宋体" w:hAnsi="宋体" w:eastAsia="宋体" w:cs="宋体"/>
          <w:sz w:val="21"/>
          <w:szCs w:val="21"/>
          <w:lang w:val="en-US" w:eastAsia="zh-CN"/>
        </w:rPr>
        <w:t>环境物品属于所有的人，它的公共性不仅是指属于现在存于世上的人，还指这些环境物品同样也属于还没降临到这个世界上的子孙后代，我们必须集体一起保护环境，才能更好的繁衍与传承。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sz w:val="21"/>
          <w:szCs w:val="21"/>
          <w:lang w:val="en-US" w:eastAsia="zh-CN"/>
        </w:rPr>
      </w:pPr>
      <w:r>
        <w:rPr>
          <w:rFonts w:hint="eastAsia" w:ascii="黑体" w:hAnsi="黑体" w:eastAsia="黑体" w:cs="黑体"/>
          <w:b/>
          <w:bCs/>
          <w:sz w:val="28"/>
          <w:szCs w:val="28"/>
          <w:lang w:val="en-US" w:eastAsia="zh-CN"/>
        </w:rPr>
        <w:t>三、新《环境保护法》在环境信息公开中的突破</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论及新《环境保护法》的出台，其在内容上专设了</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信息公开与公众参与</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一章，区别于《环境信息公开办法》（试行）中的内容：</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（一）</w:t>
      </w:r>
      <w:r>
        <w:rPr>
          <w:rFonts w:hint="eastAsia" w:ascii="宋体" w:hAnsi="宋体" w:eastAsia="宋体" w:cs="宋体"/>
          <w:b/>
          <w:bCs/>
          <w:sz w:val="24"/>
          <w:szCs w:val="24"/>
          <w:lang w:val="en-US" w:eastAsia="zh-CN"/>
        </w:rPr>
        <w:t>扩大了环境信息公开主体的范围</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在新《环境保护法》第54条第2、3款中都规定了，由</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环境保护主管部门及其他负有环境保护监督管理责任的部门</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对环境信息进行公开，在主体上增加了</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其他负有环境保护监督管理责任的部门</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，是其他办法、条例所没有的内容。之所以要增加后一主体，主要还是为了形成互相监督的局面，形成对</w:t>
      </w:r>
      <w:r>
        <w:rPr>
          <w:rFonts w:hint="eastAsia" w:ascii="宋体" w:hAnsi="宋体" w:cs="宋体"/>
          <w:sz w:val="21"/>
          <w:szCs w:val="21"/>
          <w:lang w:val="en-US" w:eastAsia="zh-CN"/>
        </w:rPr>
        <w:t>新法</w:t>
      </w:r>
      <w:r>
        <w:rPr>
          <w:rFonts w:hint="eastAsia" w:ascii="宋体" w:hAnsi="宋体" w:eastAsia="宋体" w:cs="宋体"/>
          <w:sz w:val="21"/>
          <w:szCs w:val="21"/>
          <w:lang w:val="en-US" w:eastAsia="zh-CN"/>
        </w:rPr>
        <w:t>的良性的实施，不</w:t>
      </w:r>
      <w:r>
        <w:rPr>
          <w:rFonts w:hint="eastAsia" w:ascii="宋体" w:hAnsi="宋体" w:cs="宋体"/>
          <w:sz w:val="21"/>
          <w:szCs w:val="21"/>
          <w:lang w:val="en-US" w:eastAsia="zh-CN"/>
        </w:rPr>
        <w:t>会</w:t>
      </w:r>
      <w:r>
        <w:rPr>
          <w:rFonts w:hint="eastAsia" w:ascii="宋体" w:hAnsi="宋体" w:eastAsia="宋体" w:cs="宋体"/>
          <w:sz w:val="21"/>
          <w:szCs w:val="21"/>
          <w:lang w:val="en-US" w:eastAsia="zh-CN"/>
        </w:rPr>
        <w:t>止于制度虚设，</w:t>
      </w:r>
      <w:r>
        <w:rPr>
          <w:rFonts w:hint="eastAsia" w:ascii="宋体" w:hAnsi="宋体" w:cs="宋体"/>
          <w:sz w:val="21"/>
          <w:szCs w:val="21"/>
          <w:lang w:val="en-US" w:eastAsia="zh-CN"/>
        </w:rPr>
        <w:t>导致形成</w:t>
      </w:r>
      <w:r>
        <w:rPr>
          <w:rFonts w:hint="eastAsia" w:ascii="宋体" w:hAnsi="宋体" w:eastAsia="宋体" w:cs="宋体"/>
          <w:sz w:val="21"/>
          <w:szCs w:val="21"/>
          <w:lang w:val="en-US" w:eastAsia="zh-CN"/>
        </w:rPr>
        <w:t>达不到保护环境的效果。</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cs="宋体"/>
          <w:b/>
          <w:bCs/>
          <w:color w:val="auto"/>
          <w:sz w:val="24"/>
          <w:szCs w:val="24"/>
          <w:lang w:val="en-US" w:eastAsia="zh-CN"/>
        </w:rPr>
        <w:t>（二）</w:t>
      </w:r>
      <w:r>
        <w:rPr>
          <w:rFonts w:hint="eastAsia" w:ascii="宋体" w:hAnsi="宋体" w:eastAsia="宋体" w:cs="宋体"/>
          <w:b/>
          <w:bCs/>
          <w:color w:val="auto"/>
          <w:sz w:val="24"/>
          <w:szCs w:val="24"/>
          <w:lang w:val="en-US" w:eastAsia="zh-CN"/>
        </w:rPr>
        <w:t>规定</w:t>
      </w:r>
      <w:r>
        <w:rPr>
          <w:rFonts w:hint="eastAsia" w:ascii="宋体" w:hAnsi="宋体" w:eastAsia="宋体" w:cs="宋体"/>
          <w:b/>
          <w:bCs/>
          <w:sz w:val="24"/>
          <w:szCs w:val="24"/>
          <w:lang w:val="en-US" w:eastAsia="zh-CN"/>
        </w:rPr>
        <w:t>公众的知情权、参与权与监督权</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环境保护法》第53条赋予了公民、法人和其他组织环境知情权、参与权、监督权。赋予公民环境知情权，是为了落实宪法赋予公民的知情权，维护公民的基本权利，同时这项权利也是促进环境保护的基础权利；赋予公民监督权是为了更好的监督执法部分的</w:t>
      </w:r>
      <w:r>
        <w:rPr>
          <w:rFonts w:hint="eastAsia" w:ascii="宋体" w:hAnsi="宋体" w:cs="宋体"/>
          <w:sz w:val="21"/>
          <w:szCs w:val="21"/>
          <w:lang w:val="en-US" w:eastAsia="zh-CN"/>
        </w:rPr>
        <w:t>执法</w:t>
      </w:r>
      <w:r>
        <w:rPr>
          <w:rFonts w:hint="eastAsia" w:ascii="宋体" w:hAnsi="宋体" w:eastAsia="宋体" w:cs="宋体"/>
          <w:sz w:val="21"/>
          <w:szCs w:val="21"/>
          <w:lang w:val="en-US" w:eastAsia="zh-CN"/>
        </w:rPr>
        <w:t>行为，防止滥用环境执法权利，将政府公权力的</w:t>
      </w:r>
      <w:r>
        <w:rPr>
          <w:rFonts w:hint="eastAsia" w:ascii="宋体" w:hAnsi="宋体" w:cs="宋体"/>
          <w:sz w:val="21"/>
          <w:szCs w:val="21"/>
          <w:lang w:val="en-US" w:eastAsia="zh-CN"/>
        </w:rPr>
        <w:t>行使</w:t>
      </w:r>
      <w:r>
        <w:rPr>
          <w:rFonts w:hint="eastAsia" w:ascii="宋体" w:hAnsi="宋体" w:eastAsia="宋体" w:cs="宋体"/>
          <w:sz w:val="21"/>
          <w:szCs w:val="21"/>
          <w:lang w:val="en-US" w:eastAsia="zh-CN"/>
        </w:rPr>
        <w:t>暴露在阳光下</w:t>
      </w:r>
      <w:r>
        <w:rPr>
          <w:rFonts w:hint="eastAsia" w:ascii="宋体" w:hAnsi="宋体" w:cs="宋体"/>
          <w:sz w:val="21"/>
          <w:szCs w:val="21"/>
          <w:lang w:val="en-US" w:eastAsia="zh-CN"/>
        </w:rPr>
        <w:t>，从而方便接受群众的监督</w:t>
      </w:r>
      <w:r>
        <w:rPr>
          <w:rFonts w:hint="eastAsia" w:ascii="宋体" w:hAnsi="宋体" w:eastAsia="宋体" w:cs="宋体"/>
          <w:sz w:val="21"/>
          <w:szCs w:val="21"/>
          <w:lang w:val="en-US" w:eastAsia="zh-CN"/>
        </w:rPr>
        <w:t>；赋予公民参与权则是倡导公民积极加入到环境保护的大潮中，使环境知情权落到实处，同样也是为了更好的行使监督权，只有参与到环境保护中去，才能更好的对环境执法部门进行监督</w:t>
      </w:r>
      <w:r>
        <w:rPr>
          <w:rFonts w:hint="eastAsia" w:ascii="宋体" w:hAnsi="宋体" w:cs="宋体"/>
          <w:sz w:val="21"/>
          <w:szCs w:val="21"/>
          <w:lang w:val="en-US" w:eastAsia="zh-CN"/>
        </w:rPr>
        <w:t>和提出合理性的建议</w:t>
      </w:r>
      <w:r>
        <w:rPr>
          <w:rFonts w:hint="eastAsia" w:ascii="宋体" w:hAnsi="宋体" w:eastAsia="宋体" w:cs="宋体"/>
          <w:sz w:val="21"/>
          <w:szCs w:val="21"/>
          <w:lang w:val="en-US" w:eastAsia="zh-CN"/>
        </w:rPr>
        <w:t>。这三项权利是相互作用的，是不能缺一而论的，只有公民将这些权利落实在环境保护中去，才能更好的通过法治的手段来保护我们所处的生活环境。</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（三）</w:t>
      </w:r>
      <w:r>
        <w:rPr>
          <w:rFonts w:hint="eastAsia" w:ascii="宋体" w:hAnsi="宋体" w:eastAsia="宋体" w:cs="宋体"/>
          <w:b/>
          <w:bCs/>
          <w:sz w:val="24"/>
          <w:szCs w:val="24"/>
          <w:lang w:val="en-US" w:eastAsia="zh-CN"/>
        </w:rPr>
        <w:t>要求重点排污单位应当主动公开环境信息</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重点污染单位因为其</w:t>
      </w:r>
      <w:r>
        <w:rPr>
          <w:rFonts w:hint="eastAsia" w:ascii="宋体" w:hAnsi="宋体" w:cs="宋体"/>
          <w:sz w:val="21"/>
          <w:szCs w:val="21"/>
          <w:lang w:val="en-US" w:eastAsia="zh-CN"/>
        </w:rPr>
        <w:t>产生</w:t>
      </w:r>
      <w:r>
        <w:rPr>
          <w:rFonts w:hint="eastAsia" w:ascii="宋体" w:hAnsi="宋体" w:eastAsia="宋体" w:cs="宋体"/>
          <w:sz w:val="21"/>
          <w:szCs w:val="21"/>
          <w:lang w:val="en-US" w:eastAsia="zh-CN"/>
        </w:rPr>
        <w:t>的污染相较其他单位更加严重，对社会环境危害的可能性更高，污染的范围更广，但是如果事故发生前就做好体系的排污措施的话，则能减少很多污染。这也是新环境保护法为什么注重强调重点排污单位要主动公开排污情况的原因，为了国民生产、经济发展的要求，导致现今我们国家还无法取缔这些重点排污单位，但是我们依然可以通过预防的手段进行减排</w:t>
      </w:r>
      <w:r>
        <w:rPr>
          <w:rFonts w:hint="eastAsia" w:ascii="宋体" w:hAnsi="宋体" w:cs="宋体"/>
          <w:sz w:val="21"/>
          <w:szCs w:val="21"/>
          <w:lang w:val="en-US" w:eastAsia="zh-CN"/>
        </w:rPr>
        <w:t>和合理有效的控制排放污染</w:t>
      </w:r>
      <w:r>
        <w:rPr>
          <w:rFonts w:hint="eastAsia" w:ascii="宋体" w:hAnsi="宋体" w:eastAsia="宋体" w:cs="宋体"/>
          <w:sz w:val="21"/>
          <w:szCs w:val="21"/>
          <w:lang w:val="en-US" w:eastAsia="zh-CN"/>
        </w:rPr>
        <w:t>。而被法律要求主动公开环境信息，能更好的对其进行管理与监督，促使排污单位合理</w:t>
      </w:r>
      <w:r>
        <w:rPr>
          <w:rFonts w:hint="eastAsia" w:ascii="宋体" w:hAnsi="宋体" w:cs="宋体"/>
          <w:sz w:val="21"/>
          <w:szCs w:val="21"/>
          <w:lang w:val="en-US" w:eastAsia="zh-CN"/>
        </w:rPr>
        <w:t>控制</w:t>
      </w:r>
      <w:r>
        <w:rPr>
          <w:rFonts w:hint="eastAsia" w:ascii="宋体" w:hAnsi="宋体" w:eastAsia="宋体" w:cs="宋体"/>
          <w:sz w:val="21"/>
          <w:szCs w:val="21"/>
          <w:lang w:val="en-US" w:eastAsia="zh-CN"/>
        </w:rPr>
        <w:t>排污</w:t>
      </w:r>
      <w:r>
        <w:rPr>
          <w:rFonts w:hint="eastAsia" w:ascii="宋体" w:hAnsi="宋体" w:cs="宋体"/>
          <w:sz w:val="21"/>
          <w:szCs w:val="21"/>
          <w:lang w:val="en-US" w:eastAsia="zh-CN"/>
        </w:rPr>
        <w:t>和加大减排力度</w:t>
      </w:r>
      <w:r>
        <w:rPr>
          <w:rFonts w:hint="eastAsia" w:ascii="宋体" w:hAnsi="宋体" w:eastAsia="宋体" w:cs="宋体"/>
          <w:sz w:val="21"/>
          <w:szCs w:val="21"/>
          <w:lang w:val="en-US" w:eastAsia="zh-CN"/>
        </w:rPr>
        <w:t>，同时也维护了民众的环境知情权，使民众</w:t>
      </w:r>
      <w:r>
        <w:rPr>
          <w:rFonts w:hint="eastAsia" w:ascii="宋体" w:hAnsi="宋体" w:cs="宋体"/>
          <w:sz w:val="21"/>
          <w:szCs w:val="21"/>
          <w:lang w:val="en-US" w:eastAsia="zh-CN"/>
        </w:rPr>
        <w:t>对单位的排污事实</w:t>
      </w:r>
      <w:r>
        <w:rPr>
          <w:rFonts w:hint="eastAsia" w:ascii="宋体" w:hAnsi="宋体" w:eastAsia="宋体" w:cs="宋体"/>
          <w:sz w:val="21"/>
          <w:szCs w:val="21"/>
          <w:lang w:val="en-US" w:eastAsia="zh-CN"/>
        </w:rPr>
        <w:t>在心理上有一个接受</w:t>
      </w:r>
      <w:r>
        <w:rPr>
          <w:rFonts w:hint="eastAsia" w:ascii="宋体" w:hAnsi="宋体" w:cs="宋体"/>
          <w:sz w:val="21"/>
          <w:szCs w:val="21"/>
          <w:lang w:val="en-US" w:eastAsia="zh-CN"/>
        </w:rPr>
        <w:t>能力</w:t>
      </w:r>
      <w:r>
        <w:rPr>
          <w:rFonts w:hint="eastAsia" w:ascii="宋体" w:hAnsi="宋体" w:eastAsia="宋体" w:cs="宋体"/>
          <w:sz w:val="21"/>
          <w:szCs w:val="21"/>
          <w:lang w:val="en-US" w:eastAsia="zh-CN"/>
        </w:rPr>
        <w:t>，不至于造成恐慌等影响社会稳定的事件。</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（四）</w:t>
      </w:r>
      <w:r>
        <w:rPr>
          <w:rFonts w:hint="eastAsia" w:ascii="宋体" w:hAnsi="宋体" w:eastAsia="宋体" w:cs="宋体"/>
          <w:b/>
          <w:bCs/>
          <w:sz w:val="24"/>
          <w:szCs w:val="24"/>
          <w:lang w:val="en-US" w:eastAsia="zh-CN"/>
        </w:rPr>
        <w:t>完善建设项目环境影响评价的公众参与</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1"/>
          <w:szCs w:val="21"/>
          <w:lang w:val="en-US" w:eastAsia="zh-CN"/>
        </w:rPr>
        <w:t>这一项突破是对民众环境参与权、环境监督权的落实。环境影响报告书是建设项目单位对建设项目可能对民众造成的环境影响的一种事先告知书，让民众知晓建设项目对环境污染的隐患，</w:t>
      </w:r>
      <w:r>
        <w:rPr>
          <w:rFonts w:hint="eastAsia" w:ascii="宋体" w:hAnsi="宋体" w:cs="宋体"/>
          <w:sz w:val="21"/>
          <w:szCs w:val="21"/>
          <w:lang w:val="en-US" w:eastAsia="zh-CN"/>
        </w:rPr>
        <w:t>在做出报告书后，提取</w:t>
      </w:r>
      <w:r>
        <w:rPr>
          <w:rFonts w:hint="eastAsia" w:ascii="宋体" w:hAnsi="宋体" w:eastAsia="宋体" w:cs="宋体"/>
          <w:sz w:val="21"/>
          <w:szCs w:val="21"/>
          <w:lang w:val="en-US" w:eastAsia="zh-CN"/>
        </w:rPr>
        <w:t>民众的意见，了解民众对建设项目的接受程度</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如果民众无法接受这样的环境污染隐患，那么建设项目单位则要听取民众的合理建议，而不能一意孤行地走自己的路。如果建设单位一意孤行，其行为则违反了法律规定，</w:t>
      </w:r>
      <w:r>
        <w:rPr>
          <w:rFonts w:hint="eastAsia" w:ascii="宋体" w:hAnsi="宋体" w:cs="宋体"/>
          <w:sz w:val="21"/>
          <w:szCs w:val="21"/>
          <w:lang w:val="en-US" w:eastAsia="zh-CN"/>
        </w:rPr>
        <w:t>所建项目则是</w:t>
      </w:r>
      <w:r>
        <w:rPr>
          <w:rFonts w:hint="eastAsia" w:ascii="宋体" w:hAnsi="宋体" w:eastAsia="宋体" w:cs="宋体"/>
          <w:sz w:val="21"/>
          <w:szCs w:val="21"/>
          <w:lang w:val="en-US" w:eastAsia="zh-CN"/>
        </w:rPr>
        <w:t>是不合法的建设项目，</w:t>
      </w:r>
      <w:r>
        <w:rPr>
          <w:rFonts w:hint="eastAsia" w:ascii="宋体" w:hAnsi="宋体" w:cs="宋体"/>
          <w:sz w:val="21"/>
          <w:szCs w:val="21"/>
          <w:lang w:val="en-US" w:eastAsia="zh-CN"/>
        </w:rPr>
        <w:t>单位行为</w:t>
      </w:r>
      <w:r>
        <w:rPr>
          <w:rFonts w:hint="eastAsia" w:ascii="宋体" w:hAnsi="宋体" w:eastAsia="宋体" w:cs="宋体"/>
          <w:sz w:val="21"/>
          <w:szCs w:val="21"/>
          <w:lang w:val="en-US" w:eastAsia="zh-CN"/>
        </w:rPr>
        <w:t>必将受到法律的惩戒。</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（五）</w:t>
      </w:r>
      <w:r>
        <w:rPr>
          <w:rFonts w:hint="eastAsia" w:ascii="宋体" w:hAnsi="宋体" w:eastAsia="宋体" w:cs="宋体"/>
          <w:b/>
          <w:bCs/>
          <w:sz w:val="24"/>
          <w:szCs w:val="24"/>
          <w:lang w:val="en-US" w:eastAsia="zh-CN"/>
        </w:rPr>
        <w:t>扩大环境信息公开救济途径</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权利必有救济，不然权利就是虚设。新环境保护法纳入了环境公益诉讼制度，对于污染环境、破坏生态，损害社会公共利益的行为，符合法律规定的条件的社会组织可以提起公益诉讼。虽然公益诉讼在某些西方国家由来已久，但是在我们国家，在环境保护法等相关规定中，确是历史性的时期。我们认为正是由于环境物品的公共性，才导致环境</w:t>
      </w:r>
      <w:r>
        <w:rPr>
          <w:rFonts w:hint="eastAsia" w:ascii="宋体" w:hAnsi="宋体" w:cs="宋体"/>
          <w:sz w:val="21"/>
          <w:szCs w:val="21"/>
          <w:lang w:val="en-US" w:eastAsia="zh-CN"/>
        </w:rPr>
        <w:t>污染</w:t>
      </w:r>
      <w:r>
        <w:rPr>
          <w:rFonts w:hint="eastAsia" w:ascii="宋体" w:hAnsi="宋体" w:eastAsia="宋体" w:cs="宋体"/>
          <w:sz w:val="21"/>
          <w:szCs w:val="21"/>
          <w:lang w:val="en-US" w:eastAsia="zh-CN"/>
        </w:rPr>
        <w:t>侵权案件适用于公益诉讼当中。在环境</w:t>
      </w:r>
      <w:r>
        <w:rPr>
          <w:rFonts w:hint="eastAsia" w:ascii="宋体" w:hAnsi="宋体" w:cs="宋体"/>
          <w:sz w:val="21"/>
          <w:szCs w:val="21"/>
          <w:lang w:val="en-US" w:eastAsia="zh-CN"/>
        </w:rPr>
        <w:t>污染</w:t>
      </w:r>
      <w:r>
        <w:rPr>
          <w:rFonts w:hint="eastAsia" w:ascii="宋体" w:hAnsi="宋体" w:eastAsia="宋体" w:cs="宋体"/>
          <w:sz w:val="21"/>
          <w:szCs w:val="21"/>
          <w:lang w:val="en-US" w:eastAsia="zh-CN"/>
        </w:rPr>
        <w:t>的案件中，受害者具有不确定性，人数往往比较多，还有就是极多可能是跨地域性的，而传统的诉讼方式是无法满足环境</w:t>
      </w:r>
      <w:r>
        <w:rPr>
          <w:rFonts w:hint="eastAsia" w:ascii="宋体" w:hAnsi="宋体" w:cs="宋体"/>
          <w:sz w:val="21"/>
          <w:szCs w:val="21"/>
          <w:lang w:val="en-US" w:eastAsia="zh-CN"/>
        </w:rPr>
        <w:t>污染</w:t>
      </w:r>
      <w:r>
        <w:rPr>
          <w:rFonts w:hint="eastAsia" w:ascii="宋体" w:hAnsi="宋体" w:eastAsia="宋体" w:cs="宋体"/>
          <w:sz w:val="21"/>
          <w:szCs w:val="21"/>
          <w:lang w:val="en-US" w:eastAsia="zh-CN"/>
        </w:rPr>
        <w:t>侵权案件的，这时就产生了公益诉讼，吸取西方优秀的公益诉讼制度优势，为我们国家所用，形成符合我们国情的公益诉讼制度。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sz w:val="21"/>
          <w:szCs w:val="21"/>
          <w:lang w:val="en-US" w:eastAsia="zh-CN"/>
        </w:rPr>
      </w:pPr>
      <w:r>
        <w:rPr>
          <w:rFonts w:hint="eastAsia" w:ascii="黑体" w:hAnsi="黑体" w:eastAsia="黑体" w:cs="黑体"/>
          <w:b/>
          <w:bCs/>
          <w:sz w:val="28"/>
          <w:szCs w:val="28"/>
          <w:lang w:val="en-US" w:eastAsia="zh-CN"/>
        </w:rPr>
        <w:t>四、新《环境保护法》在环境信息公开中的不足</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每一部立法，都会有其时间上、地域上、文化上的局限性。虽然新环境保护法才实施不久，但是结合国内法治发展的实际情况与西方发达国家的环境信息公开方面的立法状况一起分析，我们还是发现了新环境保护法在信息公开中的不足之处：</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（一）</w:t>
      </w:r>
      <w:r>
        <w:rPr>
          <w:rFonts w:hint="eastAsia" w:ascii="宋体" w:hAnsi="宋体" w:eastAsia="宋体" w:cs="宋体"/>
          <w:b/>
          <w:bCs/>
          <w:sz w:val="24"/>
          <w:szCs w:val="24"/>
          <w:lang w:val="en-US" w:eastAsia="zh-CN"/>
        </w:rPr>
        <w:t>环境信息公开主体</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新环境保护法规定环境信息公开的主体是县级以上的地方人民政府环境保护主管部门和其他负有环境保护监督管理责任的部门，其在行政区划级别上排除了乡一级的政府相关部门，并且乡一级的政府相关部门中也不存在“其他负有环境保护监督管理责任的部门”</w:t>
      </w:r>
      <w:r>
        <w:rPr>
          <w:rFonts w:hint="eastAsia" w:ascii="宋体" w:hAnsi="宋体" w:cs="宋体"/>
          <w:sz w:val="21"/>
          <w:szCs w:val="21"/>
          <w:lang w:val="en-US" w:eastAsia="zh-CN"/>
        </w:rPr>
        <w:t>当中</w:t>
      </w:r>
      <w:r>
        <w:rPr>
          <w:rFonts w:hint="eastAsia" w:ascii="宋体" w:hAnsi="宋体" w:eastAsia="宋体" w:cs="宋体"/>
          <w:sz w:val="21"/>
          <w:szCs w:val="21"/>
          <w:lang w:val="en-US" w:eastAsia="zh-CN"/>
        </w:rPr>
        <w:t>，所以说乡一级是没有纳入</w:t>
      </w:r>
      <w:r>
        <w:rPr>
          <w:rFonts w:hint="eastAsia" w:ascii="宋体" w:hAnsi="宋体" w:cs="宋体"/>
          <w:sz w:val="21"/>
          <w:szCs w:val="21"/>
          <w:lang w:val="en-US" w:eastAsia="zh-CN"/>
        </w:rPr>
        <w:t>到</w:t>
      </w:r>
      <w:r>
        <w:rPr>
          <w:rFonts w:hint="eastAsia" w:ascii="宋体" w:hAnsi="宋体" w:eastAsia="宋体" w:cs="宋体"/>
          <w:sz w:val="21"/>
          <w:szCs w:val="21"/>
          <w:lang w:val="en-US" w:eastAsia="zh-CN"/>
        </w:rPr>
        <w:t>环境信息公开的主体中的。但是乡一级别作为民众生活环境的最直接管理者，其对本行政区域内的情况</w:t>
      </w:r>
      <w:r>
        <w:rPr>
          <w:rFonts w:hint="eastAsia" w:ascii="宋体" w:hAnsi="宋体" w:cs="宋体"/>
          <w:sz w:val="21"/>
          <w:szCs w:val="21"/>
          <w:lang w:val="en-US" w:eastAsia="zh-CN"/>
        </w:rPr>
        <w:t>最为</w:t>
      </w:r>
      <w:r>
        <w:rPr>
          <w:rFonts w:hint="eastAsia" w:ascii="宋体" w:hAnsi="宋体" w:eastAsia="宋体" w:cs="宋体"/>
          <w:sz w:val="21"/>
          <w:szCs w:val="21"/>
          <w:lang w:val="en-US" w:eastAsia="zh-CN"/>
        </w:rPr>
        <w:t>了解，在处理</w:t>
      </w:r>
      <w:r>
        <w:rPr>
          <w:rFonts w:hint="eastAsia" w:ascii="宋体" w:hAnsi="宋体" w:cs="宋体"/>
          <w:sz w:val="21"/>
          <w:szCs w:val="21"/>
          <w:lang w:val="en-US" w:eastAsia="zh-CN"/>
        </w:rPr>
        <w:t>环境污染</w:t>
      </w:r>
      <w:r>
        <w:rPr>
          <w:rFonts w:hint="eastAsia" w:ascii="宋体" w:hAnsi="宋体" w:eastAsia="宋体" w:cs="宋体"/>
          <w:sz w:val="21"/>
          <w:szCs w:val="21"/>
          <w:lang w:val="en-US" w:eastAsia="zh-CN"/>
        </w:rPr>
        <w:t>事故</w:t>
      </w:r>
      <w:r>
        <w:rPr>
          <w:rFonts w:hint="eastAsia" w:ascii="宋体" w:hAnsi="宋体" w:cs="宋体"/>
          <w:sz w:val="21"/>
          <w:szCs w:val="21"/>
          <w:lang w:val="en-US" w:eastAsia="zh-CN"/>
        </w:rPr>
        <w:t>等</w:t>
      </w:r>
      <w:r>
        <w:rPr>
          <w:rFonts w:hint="eastAsia" w:ascii="宋体" w:hAnsi="宋体" w:eastAsia="宋体" w:cs="宋体"/>
          <w:sz w:val="21"/>
          <w:szCs w:val="21"/>
          <w:lang w:val="en-US" w:eastAsia="zh-CN"/>
        </w:rPr>
        <w:t>问题具有更直接的效果。有一位学者总结了应当将乡一级政府部门也作为环境信息公开的主体的三个原因</w:t>
      </w:r>
      <w:r>
        <w:rPr>
          <w:rFonts w:hint="eastAsia" w:ascii="宋体" w:hAnsi="宋体" w:cs="宋体"/>
          <w:sz w:val="21"/>
          <w:szCs w:val="21"/>
          <w:lang w:val="en-US" w:eastAsia="zh-CN"/>
        </w:rPr>
        <w:t>：</w:t>
      </w:r>
      <w:r>
        <w:rPr>
          <w:rFonts w:hint="eastAsia" w:ascii="宋体" w:hAnsi="宋体" w:eastAsia="宋体" w:cs="宋体"/>
          <w:color w:val="auto"/>
          <w:sz w:val="21"/>
          <w:szCs w:val="21"/>
          <w:lang w:val="en-US" w:eastAsia="zh-CN"/>
        </w:rPr>
        <w:t>第一，在心环境保护法第28条明确了地方各级政法公开环境信息的义务，在法律上，乡一级政府部门是有公开环境信息的责任的；第二，乡级政府部门与辖区居民关系密切，所掌握的环境信息更加直接、具体。第三，辖区居民能更加方便的从乡一级政府部分获得环境信息，从而更好的行使公民的环境知情权。</w:t>
      </w:r>
      <w:r>
        <w:rPr>
          <w:rFonts w:hint="eastAsia" w:ascii="宋体" w:hAnsi="宋体" w:eastAsia="宋体" w:cs="宋体"/>
          <w:sz w:val="21"/>
          <w:szCs w:val="21"/>
          <w:lang w:val="en-US" w:eastAsia="zh-CN"/>
        </w:rPr>
        <w:t>针对上述三个理由，很有说服</w:t>
      </w:r>
      <w:r>
        <w:rPr>
          <w:rFonts w:hint="eastAsia" w:ascii="宋体" w:hAnsi="宋体" w:cs="宋体"/>
          <w:sz w:val="21"/>
          <w:szCs w:val="21"/>
          <w:lang w:val="en-US" w:eastAsia="zh-CN"/>
        </w:rPr>
        <w:t>力</w:t>
      </w:r>
      <w:r>
        <w:rPr>
          <w:rFonts w:hint="eastAsia" w:ascii="宋体" w:hAnsi="宋体" w:eastAsia="宋体" w:cs="宋体"/>
          <w:sz w:val="21"/>
          <w:szCs w:val="21"/>
          <w:lang w:val="en-US" w:eastAsia="zh-CN"/>
        </w:rPr>
        <w:t>，不仅从法律规范的角度肯定了乡一级政府部门的环境信息公开义务，还从民众与政府关系、以及获取环境信息的方便度着手肯定了乡级政府部门对环境信息公开的重要性作用。</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（二）</w:t>
      </w:r>
      <w:r>
        <w:rPr>
          <w:rFonts w:hint="eastAsia" w:ascii="宋体" w:hAnsi="宋体" w:eastAsia="宋体" w:cs="宋体"/>
          <w:b/>
          <w:bCs/>
          <w:sz w:val="24"/>
          <w:szCs w:val="24"/>
          <w:lang w:val="en-US" w:eastAsia="zh-CN"/>
        </w:rPr>
        <w:t>环境信息公开的救济措施</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虽然在新环境保护法中纳入了公益诉讼制度，并且对提起公益诉讼的组织规定的一定的标准，</w:t>
      </w:r>
      <w:r>
        <w:rPr>
          <w:rFonts w:hint="eastAsia" w:ascii="宋体" w:hAnsi="宋体" w:cs="宋体"/>
          <w:sz w:val="21"/>
          <w:szCs w:val="21"/>
          <w:lang w:val="en-US" w:eastAsia="zh-CN"/>
        </w:rPr>
        <w:t>确立了</w:t>
      </w:r>
      <w:r>
        <w:rPr>
          <w:rFonts w:hint="eastAsia" w:ascii="宋体" w:hAnsi="宋体" w:eastAsia="宋体" w:cs="宋体"/>
          <w:sz w:val="21"/>
          <w:szCs w:val="21"/>
          <w:lang w:val="en-US" w:eastAsia="zh-CN"/>
        </w:rPr>
        <w:t>不是什么社会组织都可以提起公益诉讼的</w:t>
      </w:r>
      <w:r>
        <w:rPr>
          <w:rFonts w:hint="eastAsia" w:ascii="宋体" w:hAnsi="宋体" w:cs="宋体"/>
          <w:sz w:val="21"/>
          <w:szCs w:val="21"/>
          <w:lang w:val="en-US" w:eastAsia="zh-CN"/>
        </w:rPr>
        <w:t>法律规定</w:t>
      </w:r>
      <w:r>
        <w:rPr>
          <w:rFonts w:hint="eastAsia" w:ascii="宋体" w:hAnsi="宋体" w:eastAsia="宋体" w:cs="宋体"/>
          <w:sz w:val="21"/>
          <w:szCs w:val="21"/>
          <w:lang w:val="en-US" w:eastAsia="zh-CN"/>
        </w:rPr>
        <w:t>，只有符合法律</w:t>
      </w:r>
      <w:r>
        <w:rPr>
          <w:rFonts w:hint="eastAsia" w:ascii="宋体" w:hAnsi="宋体" w:cs="宋体"/>
          <w:sz w:val="21"/>
          <w:szCs w:val="21"/>
          <w:lang w:val="en-US" w:eastAsia="zh-CN"/>
        </w:rPr>
        <w:t>规定</w:t>
      </w:r>
      <w:r>
        <w:rPr>
          <w:rFonts w:hint="eastAsia" w:ascii="宋体" w:hAnsi="宋体" w:eastAsia="宋体" w:cs="宋体"/>
          <w:sz w:val="21"/>
          <w:szCs w:val="21"/>
          <w:lang w:val="en-US" w:eastAsia="zh-CN"/>
        </w:rPr>
        <w:t>条件的社会组织才有资格提起公益诉讼。除此之外，整部法律再也没有有关于规范公益诉讼制度的法律条文了。虽然国内学界对于公益诉讼的呼声不断，大有增高之势，但是即使是民事诉讼法，对于公益诉讼的规范也是特别少的。新环境保护法虽然确立了公益诉讼制度，但是规定粗线条化，在程序操作上难以达到很好的效果，这样的规定很可能在以后的法律实践中的实际作用不大，更有甚者</w:t>
      </w:r>
      <w:r>
        <w:rPr>
          <w:rFonts w:hint="eastAsia" w:ascii="宋体" w:hAnsi="宋体" w:cs="宋体"/>
          <w:sz w:val="21"/>
          <w:szCs w:val="21"/>
          <w:lang w:val="en-US" w:eastAsia="zh-CN"/>
        </w:rPr>
        <w:t>，导致该法律条文</w:t>
      </w:r>
      <w:r>
        <w:rPr>
          <w:rFonts w:hint="eastAsia" w:ascii="宋体" w:hAnsi="宋体" w:eastAsia="宋体" w:cs="宋体"/>
          <w:sz w:val="21"/>
          <w:szCs w:val="21"/>
          <w:lang w:val="en-US" w:eastAsia="zh-CN"/>
        </w:rPr>
        <w:t>形成虚设化。</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（三）</w:t>
      </w:r>
      <w:r>
        <w:rPr>
          <w:rFonts w:hint="eastAsia" w:ascii="宋体" w:hAnsi="宋体" w:eastAsia="宋体" w:cs="宋体"/>
          <w:b/>
          <w:bCs/>
          <w:sz w:val="24"/>
          <w:szCs w:val="24"/>
          <w:lang w:val="en-US" w:eastAsia="zh-CN"/>
        </w:rPr>
        <w:t>未明确“环境信息”的概念</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本篇开篇就谈到环境信息概念的问题，国际上没有形成一个统一的定义，但是仍然有许多人去定义它。我们的新环境保护法却避开了这样的一种尝试，并未在法条中给出环境信息的定义，同样也没有指出要参照《环境信息公开办法》（试行）中对环境信息的规定。这样的做法给执法部门在执法过程中产生了很大的空白，很容易导致执法不力；同样的，这对于学者们的研究也无法起到指导性的作用。环境信息不是一个可有可无的概念，它在环境信息公开中起着很大的作用，这个概念能够确定环境信息的内容，还能明确执法部门的职责所在，这是一个对保障公众环境知情权、参与权与监督权的重要概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8"/>
          <w:szCs w:val="28"/>
          <w:lang w:val="en-US" w:eastAsia="zh-CN"/>
        </w:rPr>
        <w:t>五、对于新《环境保护法》在环境信息公开的不足之处的建议</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于新环境保护法的立法不足之处，我们应该站在客观的角度上去看待。不能因为新环保法存在不足就一味的否定它，而更应该在分析其不足之处的基础上总结出一些好的建议，从而推动以后环境保护立法的发展，制定出更合理的法律。</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（一）</w:t>
      </w:r>
      <w:r>
        <w:rPr>
          <w:rFonts w:hint="eastAsia" w:ascii="宋体" w:hAnsi="宋体" w:eastAsia="宋体" w:cs="宋体"/>
          <w:b/>
          <w:bCs/>
          <w:sz w:val="24"/>
          <w:szCs w:val="24"/>
          <w:lang w:val="en-US" w:eastAsia="zh-CN"/>
        </w:rPr>
        <w:t>明确乡一级政府部门的环境信息公开的责任</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综合上述关于确认乡一级政府部分对环境信息公开主体地位的讨论，我们认为可以将“县级以上的地方人民政府环境保护主管部门和其他负有环境保护监督管理责任的部门”规定为“乡级以上的地方人民政府环境保护主管部门和其他负有环境保护监督管理责任的部门”，这样的建议虽然在现在看来有些不合理，因为在我们国家，现阶段的乡级政府内部是不存在环境保护主管部门的。原因有两点：一是乡一级辖区范围比较小，设置这样的部门实用性不高，容易造成政府内置结构复杂、人员冗长；二是乡一级环境监测、检测等技术手段不高，如果引进新技术，财政上难以支撑。虽然国内的现实困境阻隔着我们法制的发展，但是我们也不能固步自封、自怨自艾，而应该走在法治的前段来探究我们环境信息公开主体的范围，只有这样我们的新环保法才能发展、进步。</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sz w:val="24"/>
          <w:szCs w:val="24"/>
          <w:lang w:val="en-US" w:eastAsia="zh-CN"/>
        </w:rPr>
      </w:pPr>
      <w:r>
        <w:rPr>
          <w:rFonts w:hint="eastAsia" w:ascii="宋体" w:hAnsi="宋体" w:cs="宋体"/>
          <w:b/>
          <w:bCs/>
          <w:sz w:val="24"/>
          <w:szCs w:val="24"/>
          <w:lang w:val="en-US" w:eastAsia="zh-CN"/>
        </w:rPr>
        <w:t>（二）</w:t>
      </w:r>
      <w:r>
        <w:rPr>
          <w:rFonts w:hint="eastAsia" w:ascii="宋体" w:hAnsi="宋体" w:eastAsia="宋体" w:cs="宋体"/>
          <w:b/>
          <w:bCs/>
          <w:sz w:val="24"/>
          <w:szCs w:val="24"/>
          <w:lang w:val="en-US" w:eastAsia="zh-CN"/>
        </w:rPr>
        <w:t>实现多种救济模式，并对公益诉讼具体规范</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相比于之前以行政救济为主的环境信息公开救济模式，在新环保法中又加入了特定社会组织的公益诉讼的司法救济模式。但是相比于一些西方发达国家，我们国家的环境信息公开救济模式还是比较简单的，建议可以参考发达国家的救济模式的内容，来发展我们国家的救济模式。救济模式的多样性是环境保护的必然选择，环保的话题是全民关注的话题，随着污染事故的频发，单一的行政救济已经无法满足环保者和受害人的需求；行政救济方式随着政府公信力的下降，也渐渐地不为民众所信任。这就推出了公益诉讼的司法救济模式，但是我们国家的公益诉讼</w:t>
      </w:r>
      <w:r>
        <w:rPr>
          <w:rFonts w:hint="eastAsia" w:ascii="宋体" w:hAnsi="宋体" w:cs="宋体"/>
          <w:sz w:val="21"/>
          <w:szCs w:val="21"/>
          <w:lang w:val="en-US" w:eastAsia="zh-CN"/>
        </w:rPr>
        <w:t>的规范太过简单</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在司法实践中实际的操作</w:t>
      </w:r>
      <w:r>
        <w:rPr>
          <w:rFonts w:hint="eastAsia" w:ascii="宋体" w:hAnsi="宋体" w:eastAsia="宋体" w:cs="宋体"/>
          <w:sz w:val="21"/>
          <w:szCs w:val="21"/>
          <w:lang w:val="en-US" w:eastAsia="zh-CN"/>
        </w:rPr>
        <w:t>性不强，</w:t>
      </w:r>
      <w:r>
        <w:rPr>
          <w:rFonts w:hint="eastAsia" w:ascii="宋体" w:hAnsi="宋体" w:cs="宋体"/>
          <w:sz w:val="21"/>
          <w:szCs w:val="21"/>
          <w:lang w:val="en-US" w:eastAsia="zh-CN"/>
        </w:rPr>
        <w:t>这将导致这样的规定起不到救济的作用。对于公益诉讼的程序等问题，我们国家在司法过程中虽然很少这样的经验，但是我们可以向国外一些有经验的国家学习，比如美国。美国对于公益诉讼的规定比较具体，在程序要件上，规定了“诉前通知、执法行动先占”等程序；在法律救济上，对“罚款、强制令、不适用金钱赔偿、律师费和诉讼费”等做了具体的规定；在救济的限制上，规定了“违法的连续性、诉讼时效、争议不存在原则”等内容；公益诉讼主体问题上，对原告和被告都做了规定。虽然很多学者认为美国的公益诉讼制度并不适合我们国家的实际情况，但是既然我们国家还没有研究制度出适合我们国情的公益诉讼制度，那么我们为什么不能借鉴一些适合我们进行公益诉讼的国外经验呢，毕竟国与国之间除去“区别”，还是存在一定程度上的“共性”的。特别是针对学者们的研究，不能闭门造车，应该互相学习，以完善我们国家的公益诉讼制度为目标，使其在实践中更具操作性。</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bCs/>
          <w:sz w:val="24"/>
          <w:szCs w:val="24"/>
          <w:lang w:val="en-US" w:eastAsia="zh-CN"/>
        </w:rPr>
      </w:pPr>
      <w:r>
        <w:rPr>
          <w:rFonts w:hint="eastAsia" w:ascii="宋体" w:hAnsi="宋体" w:cs="宋体"/>
          <w:b/>
          <w:bCs/>
          <w:sz w:val="24"/>
          <w:szCs w:val="24"/>
          <w:lang w:val="en-US" w:eastAsia="zh-CN"/>
        </w:rPr>
        <w:t>（三）</w:t>
      </w:r>
      <w:r>
        <w:rPr>
          <w:rFonts w:hint="eastAsia" w:ascii="宋体" w:hAnsi="宋体" w:eastAsia="宋体" w:cs="宋体"/>
          <w:b/>
          <w:bCs/>
          <w:sz w:val="24"/>
          <w:szCs w:val="24"/>
          <w:lang w:val="en-US" w:eastAsia="zh-CN"/>
        </w:rPr>
        <w:t>明确“环境信息”的概念</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环境信息概念的重要性已经在上述内容中论述过了，</w:t>
      </w:r>
      <w:r>
        <w:rPr>
          <w:rFonts w:hint="eastAsia" w:ascii="宋体" w:hAnsi="宋体" w:cs="宋体"/>
          <w:sz w:val="21"/>
          <w:szCs w:val="21"/>
          <w:lang w:val="en-US" w:eastAsia="zh-CN"/>
        </w:rPr>
        <w:t>有一点必须强调，国内</w:t>
      </w:r>
      <w:r>
        <w:rPr>
          <w:rFonts w:hint="eastAsia" w:ascii="宋体" w:hAnsi="宋体" w:eastAsia="宋体" w:cs="宋体"/>
          <w:sz w:val="21"/>
          <w:szCs w:val="21"/>
          <w:lang w:val="en-US" w:eastAsia="zh-CN"/>
        </w:rPr>
        <w:t>环保法上的环境信息的概念必须突破《环境信息公开办法》（试行）中的规定，除去法律发展的考量，更是基于国际社会环境保护的现状来考量的。旧的概念</w:t>
      </w:r>
      <w:r>
        <w:rPr>
          <w:rFonts w:hint="eastAsia" w:ascii="宋体" w:hAnsi="宋体" w:cs="宋体"/>
          <w:sz w:val="21"/>
          <w:szCs w:val="21"/>
          <w:lang w:val="en-US" w:eastAsia="zh-CN"/>
        </w:rPr>
        <w:t>在一定程度上已经过时了，将无法满足现今环保立法的实际要求。如果立法上只是毫无创新式地照搬照抄，这必将导致环保立法的滞后</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因此</w:t>
      </w:r>
      <w:r>
        <w:rPr>
          <w:rFonts w:hint="eastAsia" w:ascii="宋体" w:hAnsi="宋体" w:eastAsia="宋体" w:cs="宋体"/>
          <w:sz w:val="21"/>
          <w:szCs w:val="21"/>
          <w:lang w:val="en-US" w:eastAsia="zh-CN"/>
        </w:rPr>
        <w:t>我们应该将眼光放</w:t>
      </w:r>
      <w:r>
        <w:rPr>
          <w:rFonts w:hint="eastAsia" w:ascii="宋体" w:hAnsi="宋体" w:cs="宋体"/>
          <w:sz w:val="21"/>
          <w:szCs w:val="21"/>
          <w:lang w:val="en-US" w:eastAsia="zh-CN"/>
        </w:rPr>
        <w:t>长</w:t>
      </w:r>
      <w:r>
        <w:rPr>
          <w:rFonts w:hint="eastAsia" w:ascii="宋体" w:hAnsi="宋体" w:eastAsia="宋体" w:cs="宋体"/>
          <w:sz w:val="21"/>
          <w:szCs w:val="21"/>
          <w:lang w:val="en-US" w:eastAsia="zh-CN"/>
        </w:rPr>
        <w:t>远，站在国际</w:t>
      </w:r>
      <w:r>
        <w:rPr>
          <w:rFonts w:hint="eastAsia" w:ascii="宋体" w:hAnsi="宋体" w:cs="宋体"/>
          <w:sz w:val="21"/>
          <w:szCs w:val="21"/>
          <w:lang w:val="en-US" w:eastAsia="zh-CN"/>
        </w:rPr>
        <w:t>环保发展的</w:t>
      </w:r>
      <w:r>
        <w:rPr>
          <w:rFonts w:hint="eastAsia" w:ascii="宋体" w:hAnsi="宋体" w:eastAsia="宋体" w:cs="宋体"/>
          <w:sz w:val="21"/>
          <w:szCs w:val="21"/>
          <w:lang w:val="en-US" w:eastAsia="zh-CN"/>
        </w:rPr>
        <w:t>角度上，给</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环境信息</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下一定合乎</w:t>
      </w:r>
      <w:r>
        <w:rPr>
          <w:rFonts w:hint="eastAsia" w:ascii="宋体" w:hAnsi="宋体" w:cs="宋体"/>
          <w:sz w:val="21"/>
          <w:szCs w:val="21"/>
          <w:lang w:val="en-US" w:eastAsia="zh-CN"/>
        </w:rPr>
        <w:t>国内</w:t>
      </w:r>
      <w:r>
        <w:rPr>
          <w:rFonts w:hint="eastAsia" w:ascii="宋体" w:hAnsi="宋体" w:eastAsia="宋体" w:cs="宋体"/>
          <w:sz w:val="21"/>
          <w:szCs w:val="21"/>
          <w:lang w:val="en-US" w:eastAsia="zh-CN"/>
        </w:rPr>
        <w:t>社会发展的定义。我们建议</w:t>
      </w:r>
      <w:r>
        <w:rPr>
          <w:rFonts w:hint="eastAsia" w:ascii="宋体" w:hAnsi="宋体" w:cs="宋体"/>
          <w:sz w:val="21"/>
          <w:szCs w:val="21"/>
          <w:lang w:val="en-US" w:eastAsia="zh-CN"/>
        </w:rPr>
        <w:t>可以</w:t>
      </w:r>
      <w:r>
        <w:rPr>
          <w:rFonts w:hint="eastAsia" w:ascii="宋体" w:hAnsi="宋体" w:eastAsia="宋体" w:cs="宋体"/>
          <w:sz w:val="21"/>
          <w:szCs w:val="21"/>
          <w:lang w:val="en-US" w:eastAsia="zh-CN"/>
        </w:rPr>
        <w:t>以《奥胡斯公约》</w:t>
      </w:r>
      <w:r>
        <w:rPr>
          <w:rFonts w:hint="eastAsia" w:ascii="宋体" w:hAnsi="宋体" w:cs="宋体"/>
          <w:sz w:val="21"/>
          <w:szCs w:val="21"/>
          <w:lang w:val="en-US" w:eastAsia="zh-CN"/>
        </w:rPr>
        <w:t>中的环境信息定义的范围为参考</w:t>
      </w:r>
      <w:r>
        <w:rPr>
          <w:rFonts w:hint="eastAsia" w:ascii="宋体" w:hAnsi="宋体" w:eastAsia="宋体" w:cs="宋体"/>
          <w:sz w:val="21"/>
          <w:szCs w:val="21"/>
          <w:lang w:val="en-US" w:eastAsia="zh-CN"/>
        </w:rPr>
        <w:t>，结合它的定义形式，以列举式的方式来给环境信息下一个定义</w:t>
      </w:r>
      <w:r>
        <w:rPr>
          <w:rFonts w:hint="eastAsia" w:ascii="宋体" w:hAnsi="宋体" w:cs="宋体"/>
          <w:sz w:val="21"/>
          <w:szCs w:val="21"/>
          <w:lang w:val="en-US" w:eastAsia="zh-CN"/>
        </w:rPr>
        <w:t>。但我们认为不能照搬全抄，因为该公约中的环境信息内容范围实在是太广泛了，环境信息内容规范太广泛的话会不利于执法，导致行政、司法资源的浪费，不符合执法的经济性要求。同时我们也可以借鉴</w:t>
      </w:r>
      <w:r>
        <w:rPr>
          <w:rFonts w:hint="eastAsia" w:ascii="宋体" w:hAnsi="宋体" w:eastAsia="宋体" w:cs="宋体"/>
          <w:sz w:val="21"/>
          <w:szCs w:val="21"/>
          <w:lang w:val="en-US" w:eastAsia="zh-CN"/>
        </w:rPr>
        <w:t>英国</w:t>
      </w:r>
      <w:r>
        <w:rPr>
          <w:rFonts w:hint="eastAsia" w:ascii="宋体" w:hAnsi="宋体" w:cs="宋体"/>
          <w:sz w:val="21"/>
          <w:szCs w:val="21"/>
          <w:lang w:val="en-US" w:eastAsia="zh-CN"/>
        </w:rPr>
        <w:t>法律</w:t>
      </w:r>
      <w:r>
        <w:rPr>
          <w:rFonts w:hint="eastAsia" w:ascii="宋体" w:hAnsi="宋体" w:eastAsia="宋体" w:cs="宋体"/>
          <w:sz w:val="21"/>
          <w:szCs w:val="21"/>
          <w:lang w:val="en-US" w:eastAsia="zh-CN"/>
        </w:rPr>
        <w:t>对环境信息的定义模式，</w:t>
      </w:r>
      <w:r>
        <w:rPr>
          <w:rFonts w:hint="eastAsia" w:ascii="宋体" w:hAnsi="宋体" w:cs="宋体"/>
          <w:sz w:val="21"/>
          <w:szCs w:val="21"/>
          <w:lang w:val="en-US" w:eastAsia="zh-CN"/>
        </w:rPr>
        <w:t>英国立法对于环境信息的规定相比于《奥胡斯公约》的规定，内容更清晰、具体。并且其法条是采用</w:t>
      </w:r>
      <w:r>
        <w:rPr>
          <w:rFonts w:hint="eastAsia" w:ascii="宋体" w:hAnsi="宋体" w:eastAsia="宋体" w:cs="宋体"/>
          <w:sz w:val="21"/>
          <w:szCs w:val="21"/>
          <w:lang w:val="en-US" w:eastAsia="zh-CN"/>
        </w:rPr>
        <w:t>列举加递进的形式对环境信息进行定义</w:t>
      </w:r>
      <w:r>
        <w:rPr>
          <w:rFonts w:hint="eastAsia" w:ascii="宋体" w:hAnsi="宋体" w:cs="宋体"/>
          <w:sz w:val="21"/>
          <w:szCs w:val="21"/>
          <w:lang w:val="en-US" w:eastAsia="zh-CN"/>
        </w:rPr>
        <w:t>，这种定义的方式和《奥胡斯公约》的方式是相类似的，很有借鉴的价值</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我们认为上述学者们的建议</w:t>
      </w:r>
      <w:r>
        <w:rPr>
          <w:rFonts w:hint="eastAsia" w:ascii="宋体" w:hAnsi="宋体" w:eastAsia="宋体" w:cs="宋体"/>
          <w:sz w:val="21"/>
          <w:szCs w:val="21"/>
          <w:lang w:val="en-US" w:eastAsia="zh-CN"/>
        </w:rPr>
        <w:t>都是很有</w:t>
      </w:r>
      <w:r>
        <w:rPr>
          <w:rFonts w:hint="eastAsia" w:ascii="宋体" w:hAnsi="宋体" w:cs="宋体"/>
          <w:sz w:val="21"/>
          <w:szCs w:val="21"/>
          <w:lang w:val="en-US" w:eastAsia="zh-CN"/>
        </w:rPr>
        <w:t>研究价值的</w:t>
      </w:r>
      <w:r>
        <w:rPr>
          <w:rFonts w:hint="eastAsia" w:ascii="宋体" w:hAnsi="宋体" w:eastAsia="宋体" w:cs="宋体"/>
          <w:sz w:val="21"/>
          <w:szCs w:val="21"/>
          <w:lang w:val="en-US" w:eastAsia="zh-CN"/>
        </w:rPr>
        <w:t>方向，在定义中给出环境信息的内容，让民众对环境信息的概念有更直观地认识，使</w:t>
      </w:r>
      <w:r>
        <w:rPr>
          <w:rFonts w:hint="eastAsia" w:ascii="宋体" w:hAnsi="宋体" w:cs="宋体"/>
          <w:sz w:val="21"/>
          <w:szCs w:val="21"/>
          <w:lang w:val="en-US" w:eastAsia="zh-CN"/>
        </w:rPr>
        <w:t>执法部门在</w:t>
      </w:r>
      <w:r>
        <w:rPr>
          <w:rFonts w:hint="eastAsia" w:ascii="宋体" w:hAnsi="宋体" w:eastAsia="宋体" w:cs="宋体"/>
          <w:sz w:val="21"/>
          <w:szCs w:val="21"/>
          <w:lang w:val="en-US" w:eastAsia="zh-CN"/>
        </w:rPr>
        <w:t>执法过程中减少空白，</w:t>
      </w:r>
      <w:r>
        <w:rPr>
          <w:rFonts w:hint="eastAsia" w:ascii="宋体" w:hAnsi="宋体" w:cs="宋体"/>
          <w:sz w:val="21"/>
          <w:szCs w:val="21"/>
          <w:lang w:val="en-US" w:eastAsia="zh-CN"/>
        </w:rPr>
        <w:t>提高执法力度，从而</w:t>
      </w:r>
      <w:r>
        <w:rPr>
          <w:rFonts w:hint="eastAsia" w:ascii="宋体" w:hAnsi="宋体" w:eastAsia="宋体" w:cs="宋体"/>
          <w:sz w:val="21"/>
          <w:szCs w:val="21"/>
          <w:lang w:val="en-US" w:eastAsia="zh-CN"/>
        </w:rPr>
        <w:t>提升政府执法公信力。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2" w:firstLineChars="200"/>
        <w:jc w:val="center"/>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center"/>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结语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2" w:firstLineChars="200"/>
        <w:jc w:val="center"/>
        <w:textAlignment w:val="auto"/>
        <w:outlineLvl w:val="9"/>
        <w:rPr>
          <w:rFonts w:hint="eastAsia" w:ascii="黑体" w:hAnsi="黑体" w:eastAsia="黑体" w:cs="黑体"/>
          <w:b/>
          <w:bCs/>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律在保护环境方面是一把利器，利器虽好，却也有伤人的时候。我们在要求利用法律来保护环境的同时，也不能忘记了其他保护环境的手段。互联网络的发展，产生了许多新形式的环境保护模式，比如媒体在网络上曝光环境事件、发布民众对生活环境的评价，</w:t>
      </w:r>
      <w:r>
        <w:rPr>
          <w:rFonts w:hint="eastAsia" w:ascii="宋体" w:hAnsi="宋体" w:cs="宋体"/>
          <w:sz w:val="21"/>
          <w:szCs w:val="21"/>
          <w:lang w:val="en-US" w:eastAsia="zh-CN"/>
        </w:rPr>
        <w:t>类似的</w:t>
      </w:r>
      <w:r>
        <w:rPr>
          <w:rFonts w:hint="eastAsia" w:ascii="宋体" w:hAnsi="宋体" w:eastAsia="宋体" w:cs="宋体"/>
          <w:sz w:val="21"/>
          <w:szCs w:val="21"/>
          <w:lang w:val="en-US" w:eastAsia="zh-CN"/>
        </w:rPr>
        <w:t>这样</w:t>
      </w:r>
      <w:r>
        <w:rPr>
          <w:rFonts w:hint="eastAsia" w:ascii="宋体" w:hAnsi="宋体" w:cs="宋体"/>
          <w:sz w:val="21"/>
          <w:szCs w:val="21"/>
          <w:lang w:val="en-US" w:eastAsia="zh-CN"/>
        </w:rPr>
        <w:t>的</w:t>
      </w:r>
      <w:r>
        <w:rPr>
          <w:rFonts w:hint="eastAsia" w:ascii="宋体" w:hAnsi="宋体" w:eastAsia="宋体" w:cs="宋体"/>
          <w:sz w:val="21"/>
          <w:szCs w:val="21"/>
          <w:lang w:val="en-US" w:eastAsia="zh-CN"/>
        </w:rPr>
        <w:t>模式，可以提起民众对环境事件的关注度，甚至能在环境污染发生前就将引起污染的因素消除</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同时随着各种商会的兴起，</w:t>
      </w:r>
      <w:r>
        <w:rPr>
          <w:rFonts w:hint="eastAsia" w:ascii="宋体" w:hAnsi="宋体" w:cs="宋体"/>
          <w:sz w:val="21"/>
          <w:szCs w:val="21"/>
          <w:lang w:val="en-US" w:eastAsia="zh-CN"/>
        </w:rPr>
        <w:t>如果</w:t>
      </w:r>
      <w:r>
        <w:rPr>
          <w:rFonts w:hint="eastAsia" w:ascii="宋体" w:hAnsi="宋体" w:eastAsia="宋体" w:cs="宋体"/>
          <w:sz w:val="21"/>
          <w:szCs w:val="21"/>
          <w:lang w:val="en-US" w:eastAsia="zh-CN"/>
        </w:rPr>
        <w:t>将环保内容设定为各个商事主体的竞争内容，商人为了利益，岂有不环保的。除上述三种环保模式，仍然还有其他多种形式的环保模式，有的现已存在，有的还需我们发现、实践。我们只有不停止环保的步伐，才能实现人与环境和谐发展，才能达到“天人合一”的高境界。</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center"/>
        <w:textAlignment w:val="auto"/>
        <w:outlineLvl w:val="9"/>
        <w:rPr>
          <w:rFonts w:hint="default" w:ascii="Times New Roman" w:hAnsi="Times New Roman" w:eastAsia="宋体" w:cs="Times New Roman"/>
          <w:sz w:val="21"/>
          <w:szCs w:val="21"/>
          <w:lang w:val="en-US" w:eastAsia="zh-CN"/>
        </w:rPr>
      </w:pPr>
      <w:r>
        <w:rPr>
          <w:rFonts w:hint="eastAsia" w:ascii="黑体" w:hAnsi="黑体" w:eastAsia="黑体" w:cs="黑体"/>
          <w:b/>
          <w:bCs/>
          <w:sz w:val="28"/>
          <w:szCs w:val="28"/>
          <w:lang w:val="en-US" w:eastAsia="zh-CN"/>
        </w:rPr>
        <w:t>参考文献</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default" w:ascii="Times New Roman" w:hAnsi="Times New Roman" w:eastAsia="宋体" w:cs="Times New Roman"/>
          <w:sz w:val="21"/>
          <w:szCs w:val="21"/>
          <w:lang w:val="en-US" w:eastAsia="zh-CN"/>
        </w:rPr>
        <w:t>[1]</w:t>
      </w:r>
      <w:r>
        <w:rPr>
          <w:rFonts w:hint="eastAsia" w:ascii="宋体" w:hAnsi="宋体" w:eastAsia="宋体" w:cs="宋体"/>
          <w:sz w:val="21"/>
          <w:szCs w:val="21"/>
          <w:lang w:val="en-US" w:eastAsia="zh-CN"/>
        </w:rPr>
        <w:t>欧洲经济委员会</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《在环境问题上获得信息、公众参与决策和诉诸法律的公约》，第二条第3款</w:t>
      </w:r>
      <w:r>
        <w:rPr>
          <w:rFonts w:hint="eastAsia" w:ascii="宋体" w:hAnsi="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4"/>
          <w:szCs w:val="24"/>
          <w:lang w:val="en-US" w:eastAsia="zh-CN"/>
        </w:rPr>
        <w:t>http://www.chinaenvironment.com</w:t>
      </w:r>
      <w:r>
        <w:rPr>
          <w:rFonts w:hint="eastAsia" w:ascii="宋体" w:hAnsi="宋体" w:eastAsia="宋体" w:cs="宋体"/>
          <w:sz w:val="24"/>
          <w:szCs w:val="24"/>
          <w:lang w:val="en-US" w:eastAsia="zh-CN"/>
        </w:rPr>
        <w:t>，</w:t>
      </w:r>
      <w:r>
        <w:rPr>
          <w:rFonts w:hint="eastAsia" w:ascii="宋体" w:hAnsi="宋体" w:eastAsia="宋体" w:cs="宋体"/>
          <w:sz w:val="21"/>
          <w:szCs w:val="21"/>
          <w:lang w:val="en-US" w:eastAsia="zh-CN"/>
        </w:rPr>
        <w:t>中国环保网，2013-5-16</w:t>
      </w:r>
      <w:r>
        <w:rPr>
          <w:rFonts w:hint="eastAsia" w:ascii="宋体" w:hAnsi="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default" w:ascii="Times New Roman" w:hAnsi="Times New Roman" w:eastAsia="宋体" w:cs="Times New Roman"/>
          <w:sz w:val="21"/>
          <w:szCs w:val="21"/>
          <w:lang w:val="en-US" w:eastAsia="zh-CN"/>
        </w:rPr>
        <w:t>[3]</w:t>
      </w:r>
      <w:r>
        <w:rPr>
          <w:rFonts w:hint="eastAsia" w:ascii="宋体" w:hAnsi="宋体" w:eastAsia="宋体" w:cs="宋体"/>
          <w:sz w:val="21"/>
          <w:szCs w:val="21"/>
          <w:lang w:val="en-US" w:eastAsia="zh-CN"/>
        </w:rPr>
        <w:t>彭磊</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《英国环境信息公开法律对我国立法的启示》，载《中国地质大学学报（社会科学版）》，2013年6月，第165页</w:t>
      </w:r>
      <w:r>
        <w:rPr>
          <w:rFonts w:hint="eastAsia" w:ascii="宋体" w:hAnsi="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default" w:ascii="Times New Roman" w:hAnsi="Times New Roman" w:eastAsia="宋体" w:cs="Times New Roman"/>
          <w:sz w:val="21"/>
          <w:szCs w:val="21"/>
          <w:lang w:val="en-US" w:eastAsia="zh-CN"/>
        </w:rPr>
        <w:t>[4]</w:t>
      </w:r>
      <w:r>
        <w:rPr>
          <w:rFonts w:hint="eastAsia" w:ascii="宋体" w:hAnsi="宋体" w:eastAsia="宋体" w:cs="宋体"/>
          <w:sz w:val="21"/>
          <w:szCs w:val="21"/>
          <w:lang w:val="en-US" w:eastAsia="zh-CN"/>
        </w:rPr>
        <w:t>宋旭娜，《环境信息公开是环境应急管理的必要工具》，载《中国环境管理》，2009年第3期，第26页</w:t>
      </w:r>
      <w:r>
        <w:rPr>
          <w:rFonts w:hint="eastAsia" w:ascii="宋体" w:hAnsi="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rPr>
          <w:rFonts w:hint="default" w:ascii="Times New Roman" w:hAnsi="Times New Roman" w:eastAsia="宋体" w:cs="Times New Roman"/>
          <w:sz w:val="21"/>
          <w:szCs w:val="21"/>
          <w:lang w:val="en-US" w:eastAsia="zh-CN"/>
        </w:rPr>
        <w:t>[5]</w:t>
      </w:r>
      <w:r>
        <w:rPr>
          <w:rFonts w:hint="eastAsia" w:ascii="宋体" w:hAnsi="宋体" w:eastAsia="宋体" w:cs="宋体"/>
          <w:sz w:val="21"/>
          <w:szCs w:val="21"/>
          <w:lang w:val="en-US" w:eastAsia="zh-CN"/>
        </w:rPr>
        <w:t>王京歌</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《试论我国环境信息公开制度的实施——紫金矿业污水池泄露事件思考》，载《辽宁行政学院学报》，公共管理，2011年第8期，第17页</w:t>
      </w:r>
      <w:r>
        <w:rPr>
          <w:rFonts w:hint="eastAsia" w:ascii="宋体" w:hAnsi="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cs="宋体"/>
          <w:sz w:val="21"/>
          <w:szCs w:val="21"/>
          <w:lang w:val="en-US" w:eastAsia="zh-CN"/>
        </w:rPr>
      </w:pPr>
      <w:r>
        <w:rPr>
          <w:rFonts w:hint="default" w:ascii="Times New Roman" w:hAnsi="Times New Roman" w:eastAsia="宋体" w:cs="Times New Roman"/>
          <w:sz w:val="21"/>
          <w:szCs w:val="21"/>
          <w:lang w:val="en-US" w:eastAsia="zh-CN"/>
        </w:rPr>
        <w:t>[6]</w:t>
      </w:r>
      <w:r>
        <w:rPr>
          <w:rFonts w:hint="eastAsia" w:ascii="宋体" w:hAnsi="宋体" w:eastAsia="宋体" w:cs="宋体"/>
          <w:sz w:val="21"/>
          <w:szCs w:val="21"/>
          <w:lang w:val="en-US" w:eastAsia="zh-CN"/>
        </w:rPr>
        <w:t>李洪素</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《新&lt;环境保护法&gt;中环境信息公开制度的缺陷分析》，载《商》，经济论坛·经济视点，2015年9月，第181页</w:t>
      </w:r>
      <w:r>
        <w:rPr>
          <w:rFonts w:hint="eastAsia" w:ascii="宋体" w:hAnsi="宋体" w:cs="宋体"/>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r>
        <w:rPr>
          <w:rFonts w:hint="eastAsia" w:cs="Times New Roman"/>
          <w:sz w:val="21"/>
          <w:szCs w:val="21"/>
          <w:lang w:val="en-US" w:eastAsia="zh-CN"/>
        </w:rPr>
        <w:t xml:space="preserve">                                                            </w:t>
      </w:r>
      <w:r>
        <w:rPr>
          <w:rFonts w:hint="eastAsia" w:ascii="Times New Roman" w:hAnsi="Times New Roman" w:cs="Times New Roman"/>
          <w:sz w:val="21"/>
          <w:szCs w:val="21"/>
          <w:lang w:val="en-US" w:eastAsia="zh-CN"/>
        </w:rPr>
        <w:t xml:space="preserve">（责任编辑： </w:t>
      </w:r>
      <w:r>
        <w:rPr>
          <w:rFonts w:hint="eastAsia" w:cs="Times New Roman"/>
          <w:sz w:val="21"/>
          <w:szCs w:val="21"/>
          <w:lang w:val="en-US" w:eastAsia="zh-CN"/>
        </w:rPr>
        <w:t>孙盼盼</w:t>
      </w:r>
      <w:r>
        <w:rPr>
          <w:rFonts w:hint="eastAsia" w:ascii="Times New Roman" w:hAnsi="Times New Roman" w:cs="Times New Roman"/>
          <w:sz w:val="21"/>
          <w:szCs w:val="21"/>
          <w:lang w:val="en-US" w:eastAsia="zh-CN"/>
        </w:rPr>
        <w:t>）</w:t>
      </w: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r>
        <w:rPr>
          <w:rFonts w:ascii="Times New Roman" w:hAnsi="Times New Roman" w:eastAsia="宋体" w:cs="Times New Roman"/>
          <w:kern w:val="2"/>
          <w:sz w:val="21"/>
          <w:szCs w:val="24"/>
          <w:lang w:val="en-US" w:eastAsia="zh-CN" w:bidi="ar-SA"/>
        </w:rPr>
        <w:br w:type="textWrapping"/>
      </w: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156" w:afterLines="50" w:line="240" w:lineRule="auto"/>
        <w:jc w:val="center"/>
        <w:textAlignment w:val="auto"/>
        <w:outlineLvl w:val="9"/>
        <w:rPr>
          <w:rFonts w:hint="eastAsia" w:ascii="黑体" w:hAnsi="黑体" w:eastAsia="黑体" w:cs="黑体"/>
          <w:b/>
          <w:sz w:val="32"/>
          <w:szCs w:val="32"/>
        </w:rPr>
      </w:pPr>
      <w:r>
        <w:rPr>
          <w:rFonts w:hint="eastAsia" w:ascii="黑体" w:hAnsi="黑体" w:eastAsia="黑体" w:cs="黑体"/>
          <w:b/>
          <w:sz w:val="32"/>
          <w:szCs w:val="32"/>
        </w:rPr>
        <w:t>从“伊斯兰国”看国际恐怖主义的新动向</w:t>
      </w:r>
    </w:p>
    <w:p>
      <w:pPr>
        <w:keepNext w:val="0"/>
        <w:keepLines w:val="0"/>
        <w:pageBreakBefore w:val="0"/>
        <w:widowControl w:val="0"/>
        <w:kinsoku/>
        <w:wordWrap/>
        <w:overflowPunct/>
        <w:topLinePunct w:val="0"/>
        <w:autoSpaceDE/>
        <w:autoSpaceDN/>
        <w:bidi w:val="0"/>
        <w:adjustRightInd w:val="0"/>
        <w:snapToGrid w:val="0"/>
        <w:spacing w:after="157" w:afterLines="50" w:line="240" w:lineRule="auto"/>
        <w:ind w:left="0" w:leftChars="0" w:right="0" w:rightChars="0" w:firstLine="0" w:firstLineChars="0"/>
        <w:jc w:val="center"/>
        <w:textAlignment w:val="auto"/>
        <w:outlineLvl w:val="9"/>
        <w:rPr>
          <w:rFonts w:hint="eastAsia" w:asciiTheme="minorEastAsia" w:hAnsiTheme="minorEastAsia" w:eastAsiaTheme="minorEastAsia" w:cstheme="minorEastAsia"/>
          <w:b/>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宋体" w:hAnsi="宋体"/>
          <w:szCs w:val="21"/>
        </w:rPr>
      </w:pPr>
      <w:r>
        <w:rPr>
          <w:rFonts w:hint="eastAsia" w:ascii="宋体" w:hAnsi="宋体"/>
          <w:szCs w:val="21"/>
        </w:rPr>
        <w:t>郝晓昱</w:t>
      </w:r>
      <w:r>
        <w:rPr>
          <w:rStyle w:val="12"/>
          <w:rFonts w:ascii="宋体" w:hAnsi="宋体"/>
          <w:szCs w:val="21"/>
        </w:rPr>
        <w:footnoteReference w:id="75" w:customMarkFollows="1"/>
        <w:sym w:font="Symbol" w:char="F02A"/>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宋体" w:hAnsi="宋体" w:cs="宋体"/>
          <w:b/>
          <w:sz w:val="21"/>
          <w:szCs w:val="21"/>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9"/>
        <w:rPr>
          <w:rFonts w:hint="eastAsia" w:ascii="楷体" w:hAnsi="楷体" w:eastAsia="楷体"/>
          <w:szCs w:val="21"/>
        </w:rPr>
      </w:pPr>
      <w:r>
        <w:rPr>
          <w:rFonts w:hint="eastAsia" w:ascii="宋体" w:hAnsi="宋体" w:cs="宋体"/>
          <w:b/>
          <w:sz w:val="21"/>
          <w:szCs w:val="21"/>
        </w:rPr>
        <w:t>摘  要</w:t>
      </w:r>
      <w:r>
        <w:rPr>
          <w:rFonts w:hint="eastAsia"/>
          <w:b/>
          <w:bCs/>
          <w:sz w:val="21"/>
          <w:szCs w:val="21"/>
        </w:rPr>
        <w:t>：</w:t>
      </w:r>
      <w:r>
        <w:rPr>
          <w:rFonts w:hint="eastAsia" w:ascii="楷体" w:hAnsi="楷体" w:eastAsia="楷体"/>
          <w:szCs w:val="21"/>
        </w:rPr>
        <w:t>2015年11月13日法国巴黎连环恐怖袭击因其规模大、伤亡惨重、袭击者组织严密，可谓史无前例，在震惊了法国乃至全世界的同时，也使极端组织“伊斯兰国”成为了国际社会关注和打击的焦点。与以往其他恐怖组织相比，不论是组织形式、经济基础还是宣传手段，“伊斯兰国”都有自身独特之处。事实上，纵观其发展历程，不难发现该组织擅长利用网络手段推波助澜。对于这种新动向，不妨转换思路将防范和遏制的重点放在网络反恐的国际合作上，或许能有对症下药的针对性效果。</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both"/>
        <w:textAlignment w:val="auto"/>
        <w:outlineLvl w:val="9"/>
        <w:rPr>
          <w:rFonts w:hint="eastAsia" w:ascii="楷体" w:hAnsi="楷体" w:eastAsia="楷体"/>
          <w:szCs w:val="21"/>
        </w:rPr>
      </w:pPr>
      <w:r>
        <w:rPr>
          <w:rFonts w:hint="eastAsia" w:ascii="宋体" w:hAnsi="宋体" w:cs="宋体"/>
          <w:b/>
          <w:sz w:val="21"/>
          <w:szCs w:val="21"/>
        </w:rPr>
        <w:t>关键词</w:t>
      </w:r>
      <w:r>
        <w:rPr>
          <w:rFonts w:hint="eastAsia"/>
          <w:b/>
          <w:bCs/>
          <w:sz w:val="21"/>
          <w:szCs w:val="21"/>
        </w:rPr>
        <w:t>：</w:t>
      </w:r>
      <w:r>
        <w:rPr>
          <w:rFonts w:hint="eastAsia" w:ascii="楷体" w:hAnsi="楷体" w:eastAsia="楷体"/>
          <w:szCs w:val="21"/>
        </w:rPr>
        <w:t>恐怖袭击  极端组织  ISIS  网络反恐</w:t>
      </w:r>
    </w:p>
    <w:p>
      <w:pPr>
        <w:keepNext w:val="0"/>
        <w:keepLines w:val="0"/>
        <w:pageBreakBefore w:val="0"/>
        <w:widowControl w:val="0"/>
        <w:kinsoku/>
        <w:wordWrap/>
        <w:overflowPunct/>
        <w:topLinePunct w:val="0"/>
        <w:autoSpaceDE/>
        <w:autoSpaceDN/>
        <w:bidi w:val="0"/>
        <w:adjustRightInd w:val="0"/>
        <w:snapToGrid w:val="0"/>
        <w:spacing w:before="156" w:beforeLines="50" w:line="240" w:lineRule="auto"/>
        <w:jc w:val="center"/>
        <w:textAlignment w:val="auto"/>
        <w:outlineLvl w:val="9"/>
        <w:rPr>
          <w:rFonts w:hint="eastAsia" w:ascii="黑体" w:hAnsi="黑体" w:eastAsia="黑体" w:cs="黑体"/>
          <w:b/>
          <w:sz w:val="21"/>
          <w:szCs w:val="21"/>
        </w:rPr>
      </w:pPr>
    </w:p>
    <w:p>
      <w:pPr>
        <w:keepNext w:val="0"/>
        <w:keepLines w:val="0"/>
        <w:pageBreakBefore w:val="0"/>
        <w:widowControl w:val="0"/>
        <w:kinsoku/>
        <w:wordWrap/>
        <w:overflowPunct/>
        <w:topLinePunct w:val="0"/>
        <w:autoSpaceDE/>
        <w:autoSpaceDN/>
        <w:bidi w:val="0"/>
        <w:adjustRightInd w:val="0"/>
        <w:snapToGrid w:val="0"/>
        <w:spacing w:before="157" w:beforeLines="50" w:line="288" w:lineRule="auto"/>
        <w:ind w:left="0" w:leftChars="0" w:right="0" w:rightChars="0" w:firstLine="0" w:firstLineChars="0"/>
        <w:jc w:val="center"/>
        <w:textAlignment w:val="auto"/>
        <w:outlineLvl w:val="9"/>
        <w:rPr>
          <w:rFonts w:hint="eastAsia" w:ascii="黑体" w:hAnsi="黑体" w:eastAsia="黑体" w:cs="黑体"/>
          <w:b/>
          <w:sz w:val="21"/>
          <w:szCs w:val="21"/>
        </w:rPr>
      </w:pPr>
      <w:r>
        <w:rPr>
          <w:rFonts w:hint="eastAsia" w:ascii="黑体" w:hAnsi="黑体" w:eastAsia="黑体" w:cs="黑体"/>
          <w:b/>
          <w:sz w:val="28"/>
          <w:szCs w:val="28"/>
        </w:rPr>
        <w:t>引言</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作为残暴、极端、滥杀无辜的代名词，恐怖主义就像一个寄生在人类社会发展史上的毒瘤，时刻威胁着人类社会的和平、安全与稳定。也正是由于它定时炸弹一般不容忽视的突发性和破坏性，使得其历来都是国际关系和国际法学者的重点研究对象。迄今为止中外学者在恐怖主义的发展与如何制止恐怖主义等问题上已进行了许多深入研究并发表了大批的优秀成果，比较突出和有代表性的主要有</w:t>
      </w:r>
      <w:r>
        <w:rPr>
          <w:rFonts w:ascii="宋体" w:hAnsi="宋体"/>
          <w:szCs w:val="21"/>
        </w:rPr>
        <w:fldChar w:fldCharType="begin"/>
      </w:r>
      <w:r>
        <w:rPr>
          <w:rFonts w:ascii="宋体" w:hAnsi="宋体"/>
          <w:szCs w:val="21"/>
        </w:rPr>
        <w:instrText xml:space="preserve"> HYPERLINK "http://xueshu.baidu.com/s?wd=author%3A(%E4%B9%94%E5%A7%86%E6%96%AF%E5%9F%BA)&amp;tn=SE_baiduxueshu_c1gjeupa&amp;ie=utf-8&amp;sc_f_para=sc_hilight%3Dperson" \t "_blank" </w:instrText>
      </w:r>
      <w:r>
        <w:rPr>
          <w:rFonts w:ascii="宋体" w:hAnsi="宋体"/>
          <w:szCs w:val="21"/>
        </w:rPr>
        <w:fldChar w:fldCharType="separate"/>
      </w:r>
      <w:r>
        <w:rPr>
          <w:rFonts w:ascii="宋体" w:hAnsi="宋体"/>
          <w:szCs w:val="21"/>
        </w:rPr>
        <w:t>乔姆斯基</w:t>
      </w:r>
      <w:r>
        <w:rPr>
          <w:rFonts w:ascii="宋体" w:hAnsi="宋体"/>
          <w:szCs w:val="21"/>
        </w:rPr>
        <w:fldChar w:fldCharType="end"/>
      </w:r>
      <w:r>
        <w:rPr>
          <w:rFonts w:hint="eastAsia" w:ascii="宋体" w:hAnsi="宋体"/>
          <w:szCs w:val="21"/>
        </w:rPr>
        <w:t>：《</w:t>
      </w:r>
      <w:r>
        <w:rPr>
          <w:rFonts w:ascii="宋体" w:hAnsi="宋体"/>
          <w:szCs w:val="21"/>
        </w:rPr>
        <w:t>恐怖主义文</w:t>
      </w:r>
      <w:r>
        <w:rPr>
          <w:rFonts w:hint="eastAsia" w:ascii="宋体" w:hAnsi="宋体"/>
          <w:szCs w:val="21"/>
        </w:rPr>
        <w:t>化》（</w:t>
      </w:r>
      <w:r>
        <w:rPr>
          <w:rFonts w:ascii="宋体" w:hAnsi="宋体"/>
          <w:szCs w:val="21"/>
        </w:rPr>
        <w:t>2006</w:t>
      </w:r>
      <w:r>
        <w:rPr>
          <w:rFonts w:hint="eastAsia" w:ascii="宋体" w:hAnsi="宋体"/>
          <w:szCs w:val="21"/>
        </w:rPr>
        <w:t>）、盛红生：《国家在反恐中的国际法责任》（2008）、</w:t>
      </w:r>
      <w:r>
        <w:rPr>
          <w:rFonts w:ascii="宋体" w:hAnsi="宋体"/>
          <w:szCs w:val="21"/>
        </w:rPr>
        <w:t>阮传胜</w:t>
      </w:r>
      <w:r>
        <w:rPr>
          <w:rFonts w:hint="eastAsia" w:ascii="宋体" w:hAnsi="宋体"/>
          <w:szCs w:val="21"/>
        </w:rPr>
        <w:t>：</w:t>
      </w:r>
      <w:r>
        <w:rPr>
          <w:rFonts w:ascii="宋体" w:hAnsi="宋体"/>
          <w:szCs w:val="21"/>
        </w:rPr>
        <w:fldChar w:fldCharType="begin"/>
      </w:r>
      <w:r>
        <w:rPr>
          <w:rFonts w:ascii="宋体" w:hAnsi="宋体"/>
          <w:szCs w:val="21"/>
        </w:rPr>
        <w:instrText xml:space="preserve"> HYPERLINK "http://www.baidu.com/link?url=ybafM6wk5oLnKv1H2hMekbpqN42wI1dpKV_E36aOMTwuPqP-SeTdjnLZRmIysvIR&amp;ie=utf-8&amp;f=8&amp;tn=70000002_o2_hao_pg&amp;wd=%E6%81%90%E6%80%96%E4%B8%BB%E4%B9%89%E8%91%97%E4%BD%9C&amp;oq=%E6%81%90%E6%80%96%E4%B8%BB%E4%B9%89%E8%91%97%E4%BD%9C&amp;ssl_sample=normal" \t "_blank" </w:instrText>
      </w:r>
      <w:r>
        <w:rPr>
          <w:rFonts w:ascii="宋体" w:hAnsi="宋体"/>
          <w:szCs w:val="21"/>
        </w:rPr>
        <w:fldChar w:fldCharType="separate"/>
      </w:r>
      <w:r>
        <w:rPr>
          <w:rFonts w:ascii="宋体" w:hAnsi="宋体"/>
          <w:szCs w:val="21"/>
        </w:rPr>
        <w:t>《恐怖主义犯罪研究》</w:t>
      </w:r>
      <w:r>
        <w:rPr>
          <w:rFonts w:ascii="宋体" w:hAnsi="宋体"/>
          <w:szCs w:val="21"/>
        </w:rPr>
        <w:fldChar w:fldCharType="end"/>
      </w:r>
      <w:r>
        <w:rPr>
          <w:rFonts w:hint="eastAsia" w:ascii="宋体" w:hAnsi="宋体"/>
          <w:szCs w:val="21"/>
        </w:rPr>
        <w:t>（2007）、张娟：《恐怖主义在欧洲》（2012）和英国学者</w:t>
      </w:r>
      <w:r>
        <w:rPr>
          <w:rFonts w:ascii="宋体" w:hAnsi="宋体"/>
          <w:szCs w:val="21"/>
        </w:rPr>
        <w:fldChar w:fldCharType="begin"/>
      </w:r>
      <w:r>
        <w:rPr>
          <w:rFonts w:ascii="宋体" w:hAnsi="宋体"/>
          <w:szCs w:val="21"/>
        </w:rPr>
        <w:instrText xml:space="preserve"> HYPERLINK "http://book.jd.com/writer/查尔斯·利斯特_1.html" \t "_blank" </w:instrText>
      </w:r>
      <w:r>
        <w:rPr>
          <w:rFonts w:ascii="宋体" w:hAnsi="宋体"/>
          <w:szCs w:val="21"/>
        </w:rPr>
        <w:fldChar w:fldCharType="separate"/>
      </w:r>
      <w:r>
        <w:rPr>
          <w:rFonts w:hint="eastAsia" w:ascii="宋体" w:hAnsi="宋体"/>
          <w:szCs w:val="21"/>
        </w:rPr>
        <w:t>查尔斯·利斯特</w:t>
      </w:r>
      <w:r>
        <w:rPr>
          <w:rFonts w:ascii="宋体" w:hAnsi="宋体"/>
          <w:szCs w:val="21"/>
        </w:rPr>
        <w:fldChar w:fldCharType="end"/>
      </w:r>
      <w:r>
        <w:rPr>
          <w:rFonts w:hint="eastAsia" w:ascii="宋体" w:hAnsi="宋体"/>
          <w:szCs w:val="21"/>
        </w:rPr>
        <w:t>：</w:t>
      </w:r>
      <w:r>
        <w:rPr>
          <w:rFonts w:hint="eastAsia" w:ascii="宋体" w:hAnsi="宋体"/>
          <w:i/>
          <w:szCs w:val="21"/>
        </w:rPr>
        <w:t>The Islamic State: A Brief Introduction</w:t>
      </w:r>
      <w:r>
        <w:rPr>
          <w:rFonts w:hint="eastAsia" w:ascii="宋体" w:hAnsi="宋体"/>
          <w:szCs w:val="21"/>
        </w:rPr>
        <w:t>（2016）等。值得注意的是，对于恐怖组织爆发性的破坏力而言，以往在这方面的研究模式犹如亡羊补牢，只是在针对已出现的问题寻求解决方案，而难以较好地实现我们尽量减少损失、扼杀风险的初衷。曾有学者提出，在科学技术迅猛发展的今天，泯灭人性的恐怖主义分子会充分利用科学技术的进步，所采取的犯罪手段不一定是传统意义上的暴力手段，但却具有巨大的破坏性。的确如此，随着科技的发展，恐怖主义也不断更新着手段和形式给世界和平与安全造成危害。尤其是进入21世纪以后，结合了互联网技术的恐怖主义不断出现新的作战手段和方法，给国际社会和国际法提出了新挑战。正如2015年11月13日晚发生在法国巴黎的暴力袭击事件，以其事发之突然、事态之惨烈震惊了全法国乃至整个国际社会的同时，也让整个国际社会意识到，这个擅于利用网络手段的极端组织ISIS对国际安全的危害已然迫在眉睫。可以看出，仅停留在对恐怖主义传统手段和模式上的研究已无法满足实践需要，投入更多精力对其诉求、发展的历史沿革和嬗变过程进行研究，特别是对其未来发展的新动态进行捕捉，无疑既具有重要的理论价值又具有突出的现实意义。</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宋体" w:hAnsi="宋体"/>
          <w:szCs w:val="21"/>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88" w:lineRule="auto"/>
        <w:ind w:left="0" w:leftChars="0" w:right="0" w:rightChars="0" w:firstLine="0" w:firstLineChars="0"/>
        <w:jc w:val="center"/>
        <w:textAlignment w:val="auto"/>
        <w:outlineLvl w:val="9"/>
        <w:rPr>
          <w:rFonts w:hint="eastAsia" w:ascii="黑体" w:hAnsi="黑体" w:eastAsia="黑体" w:cs="黑体"/>
          <w:b/>
          <w:sz w:val="21"/>
          <w:szCs w:val="21"/>
        </w:rPr>
      </w:pPr>
      <w:r>
        <w:rPr>
          <w:rFonts w:hint="eastAsia" w:ascii="黑体" w:hAnsi="黑体" w:eastAsia="黑体" w:cs="黑体"/>
          <w:b/>
          <w:sz w:val="28"/>
          <w:szCs w:val="28"/>
          <w:lang w:val="en-US" w:eastAsia="zh-CN"/>
        </w:rPr>
        <w:t>一、</w:t>
      </w:r>
      <w:r>
        <w:rPr>
          <w:rFonts w:hint="eastAsia" w:ascii="黑体" w:hAnsi="黑体" w:eastAsia="黑体" w:cs="黑体"/>
          <w:b/>
          <w:sz w:val="28"/>
          <w:szCs w:val="28"/>
        </w:rPr>
        <w:t>伊斯兰国简介</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ISIS，是英文Islamic State of Iraq and al Shams的缩写，中文翻译为“伊拉克和大叙利亚伊斯兰国”（也简称为“IS”）。当然，ISIS绝非一个国家，准确地说它是一个野心勃勃、势力强大且财力雄厚的极端恐怖组织。之所以叫这个名字，是因为该组织企图用暴力手段建立一个政教合一的神权国家，涵盖</w:t>
      </w:r>
      <w:r>
        <w:rPr>
          <w:rFonts w:ascii="宋体" w:hAnsi="宋体"/>
          <w:szCs w:val="21"/>
        </w:rPr>
        <w:t>整个中东、非洲东部、中部和北部、欧洲的伊比利亚半岛、黑海东部、南部和西部，亚洲中部和西部（包括印度大部甚至是中国西部地区）</w:t>
      </w:r>
      <w:r>
        <w:rPr>
          <w:rFonts w:hint="eastAsia" w:ascii="宋体" w:hAnsi="宋体"/>
          <w:szCs w:val="21"/>
        </w:rPr>
        <w:t>，打破原来欧洲殖民者在中东地区划分的边界。目前为止，“伊斯兰国”组织已控制了伊拉克西北部和叙利亚东北部的大片地区。这个区域究竟有多大呢？单从面积上看，其已超过了英国本土。</w:t>
      </w:r>
      <w:r>
        <w:rPr>
          <w:rStyle w:val="12"/>
          <w:rFonts w:ascii="宋体" w:hAnsi="宋体"/>
          <w:sz w:val="24"/>
        </w:rPr>
        <w:t>[</w:t>
      </w:r>
      <w:r>
        <w:rPr>
          <w:rStyle w:val="12"/>
          <w:rFonts w:ascii="宋体" w:hAnsi="宋体"/>
          <w:sz w:val="24"/>
        </w:rPr>
        <w:footnoteReference w:id="76"/>
      </w:r>
      <w:r>
        <w:rPr>
          <w:rStyle w:val="12"/>
          <w:rFonts w:ascii="宋体" w:hAnsi="宋体"/>
          <w:sz w:val="24"/>
        </w:rPr>
        <w:t>]</w:t>
      </w:r>
      <w:r>
        <w:rPr>
          <w:rFonts w:hint="eastAsia" w:ascii="宋体" w:hAnsi="宋体"/>
          <w:szCs w:val="21"/>
        </w:rPr>
        <w:t>因此，ISIS并不同于以往存在的那些普通恐怖组织，其威胁之大，不容乐观。</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俗话说“冰冻三尺非一日之寒”，“伊斯兰国”组织也绝非一夜之间凭空产生。要追溯其源头，还要从叙利亚说起。2000年，34岁的巴沙尔·阿萨德当选为叙利亚新一任总统。上任后，巴沙尔开始推行一系列改革。但由于改革利益的冲突以及叙利亚内部什叶派与逊尼派的教派矛盾等原因，2011年初叙利亚内部爆发危机，即叙利亚反对派同阿萨德政府之间的激烈冲突。一方面，由逊尼派中反对巴沙尔·阿萨德领导的阿拉维派政府的政党力量组成的叙利亚反对派纷纷揭竿而起对抗叙利亚政府军，企图实现叙利亚政权更迭。这些反对派力量中也包括属于逊尼派的圣战组织、基地组织（即本·拉登生前带领的曾制造9.11恐怖袭击的组织）、塔利班等恐怖分子。因而叙利亚境内的冲突实际是非常复杂混乱的。另一方面，针对叙利亚政府的反对派背后又有来自英、美国家的支持，而阿萨德政府的身后又有俄罗斯、伊朗等国撑腰，两方的对阵已并非仅单纯是国家内部政治立场和民族矛盾的冲突了，而是暗含着国际多方势力的角斗和利益的角逐，因而两方难决高下，内战越打越激烈，持续时间也越来越长。就在混战的过程中，有一支力量异军突起发展迅速引起各方注意，此即日后臭名昭著的ISIS。</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Style w:val="12"/>
          <w:rFonts w:ascii="宋体" w:hAnsi="宋体"/>
          <w:sz w:val="24"/>
        </w:rPr>
      </w:pPr>
      <w:r>
        <w:rPr>
          <w:rFonts w:hint="eastAsia" w:ascii="宋体" w:hAnsi="宋体"/>
          <w:szCs w:val="21"/>
        </w:rPr>
        <w:t>2003年美军攻打伊拉克时被外界认为并未发挥出实力的伊拉克共和国卫队，其分解后的残余势力私下进行了重组，形成了一个自称“伊拉克和黎凡特伊斯兰国”（ISIL）的组织，该组织初期主要依附于奥萨马·本·拉登领导的基地组织。起初ISIL一直活动于伊拉克境内，主要目标是对抗伊拉克新政府。因出身正规军队，其军事实力甚至压过伊拉克新政府军而略占优势。待叙利亚内战爆发后，该组织见有利可图，便加入了混战，企图借此机会扩张自身规模。不难发现，虽然反对派和叙利亚政府军实力都不算薄弱，但此时，长期的混战已令双方疲惫不堪实力大减，再加上反对派中的一些恐怖势力目的并不单纯，而只是想借机大发战争财、扩大势力范围、实现自身诉求，这就给ISIL组织提供了一个很好的契机。于是他们在反政府势力里选中了作战强悍的武装组织“胜利阵线”，并与之合并，正式更名为“伊拉克和大叙利亚伊斯兰国（ISIS）”。</w:t>
      </w:r>
      <w:r>
        <w:rPr>
          <w:rStyle w:val="12"/>
          <w:rFonts w:ascii="宋体" w:hAnsi="宋体"/>
          <w:sz w:val="24"/>
        </w:rPr>
        <w:t>[</w:t>
      </w:r>
      <w:r>
        <w:rPr>
          <w:rStyle w:val="12"/>
          <w:rFonts w:ascii="宋体" w:hAnsi="宋体"/>
          <w:sz w:val="24"/>
        </w:rPr>
        <w:footnoteReference w:id="77"/>
      </w:r>
      <w:r>
        <w:rPr>
          <w:rStyle w:val="12"/>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outlineLvl w:val="9"/>
        <w:rPr>
          <w:rStyle w:val="12"/>
          <w:rFonts w:hint="eastAsia" w:ascii="宋体" w:hAnsi="宋体"/>
          <w:sz w:val="24"/>
        </w:rPr>
      </w:pPr>
    </w:p>
    <w:p>
      <w:pPr>
        <w:keepNext w:val="0"/>
        <w:keepLines w:val="0"/>
        <w:pageBreakBefore w:val="0"/>
        <w:widowControl w:val="0"/>
        <w:kinsoku/>
        <w:wordWrap/>
        <w:overflowPunct/>
        <w:topLinePunct w:val="0"/>
        <w:autoSpaceDE/>
        <w:autoSpaceDN/>
        <w:bidi w:val="0"/>
        <w:adjustRightInd w:val="0"/>
        <w:snapToGrid w:val="0"/>
        <w:spacing w:before="156" w:beforeLines="50" w:line="288" w:lineRule="auto"/>
        <w:ind w:left="0" w:leftChars="0" w:right="0" w:rightChars="0"/>
        <w:jc w:val="center"/>
        <w:textAlignment w:val="auto"/>
        <w:outlineLvl w:val="9"/>
        <w:rPr>
          <w:rFonts w:hint="eastAsia" w:ascii="宋体" w:hAnsi="宋体"/>
          <w:szCs w:val="21"/>
        </w:rPr>
      </w:pPr>
      <w:r>
        <w:rPr>
          <w:rFonts w:hint="eastAsia" w:ascii="黑体" w:hAnsi="黑体" w:eastAsia="黑体" w:cs="黑体"/>
          <w:b/>
          <w:sz w:val="28"/>
          <w:szCs w:val="28"/>
        </w:rPr>
        <w:t>二、ISIS迅速崛起的主要原因</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宣布成立伊拉克和大叙利亚伊斯兰国之后，ISIS公布了其版图主张，即妄图在五年内占领整个中东、非洲东部、中部和北部、欧洲的伊比利亚半岛、黑海东部、南部和西部，亚洲中部和西部，建立一个囊括两河流域和地中海东岸（黎凡特地区）的逊尼派政教合一的国家。</w:t>
      </w:r>
      <w:r>
        <w:rPr>
          <w:rStyle w:val="12"/>
          <w:rFonts w:ascii="宋体" w:hAnsi="宋体"/>
          <w:sz w:val="24"/>
        </w:rPr>
        <w:t>[</w:t>
      </w:r>
      <w:r>
        <w:rPr>
          <w:rStyle w:val="12"/>
          <w:rFonts w:ascii="宋体" w:hAnsi="宋体"/>
          <w:sz w:val="24"/>
        </w:rPr>
        <w:footnoteReference w:id="78"/>
      </w:r>
      <w:r>
        <w:rPr>
          <w:rStyle w:val="12"/>
          <w:rFonts w:ascii="宋体" w:hAnsi="宋体"/>
          <w:sz w:val="24"/>
        </w:rPr>
        <w:t>]</w:t>
      </w:r>
      <w:r>
        <w:rPr>
          <w:rFonts w:hint="eastAsia" w:ascii="宋体" w:hAnsi="宋体"/>
          <w:szCs w:val="21"/>
        </w:rPr>
        <w:t>这绝非盲目的野心，其态势猖狂是有原因的，毕竟ISIS从最初仅活跃于伊拉克境内到加入叙利亚混战为祸一方，到如今占据着伊拉克西北部和叙利亚东北部大片区域、袭击巴黎、残杀各国人质，从“伊拉克伊斯兰国”（ISI）恐怖势力发展到ISIS如今的割据势力，只用了不过区区三年时间而已。如此速度和整个国际社会的恐慌都给了ISIS无比的自信和加速膨胀的野心。近几个月来，不论ISIS的武力攻势还是政治攻势，都令国际社会大为震惊，待到我们投以足够的关注之时，才发现ISIS早已不是什么疥癣之疾了，而是一个急速膨胀、迫在眉睫的忧患。我们不禁要追问，是什么使得ISIS不同于历史上曾出现的其他恐怖组织，而它又是凭借着什么样的条件得到了如此迅速的发展呢？可以这么说，对内ISIS有着核心凝聚力、战略谋划和现成的军事素养，对外其又通过多种渠道聚敛钱财，内外不愁，其壮大速度之快也就可想而知了。</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jc w:val="both"/>
        <w:textAlignment w:val="auto"/>
        <w:outlineLvl w:val="9"/>
        <w:rPr>
          <w:rFonts w:hint="eastAsia" w:ascii="宋体" w:hAnsi="宋体"/>
          <w:b/>
          <w:sz w:val="24"/>
        </w:rPr>
      </w:pPr>
      <w:r>
        <w:rPr>
          <w:rFonts w:hint="eastAsia" w:ascii="宋体" w:hAnsi="宋体"/>
          <w:b/>
          <w:sz w:val="24"/>
        </w:rPr>
        <w:t>（一）内部因素</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第一点是思想引导。在我们看来，ISIS是疯狂、残暴、十恶不赦的恐怖组织，那么为什么还有这么多人甘愿成为恐怖分子为其效力，沦为人肉炸弹和杀人屠刀呢？这恐怕要归功于其组织内部洗脑式的思想灌输，靠精神上的凝聚力将整个组织的士气烘托到高涨。作为“伊斯兰国”首领的阿布·巴克尔·</w:t>
      </w:r>
      <w:r>
        <w:rPr>
          <w:rFonts w:ascii="宋体" w:hAnsi="宋体"/>
          <w:szCs w:val="21"/>
        </w:rPr>
        <w:t>巴格达迪与以往拉登、奥马尔</w:t>
      </w:r>
      <w:r>
        <w:rPr>
          <w:rFonts w:hint="eastAsia" w:ascii="宋体" w:hAnsi="宋体"/>
          <w:szCs w:val="21"/>
        </w:rPr>
        <w:t>明显的</w:t>
      </w:r>
      <w:r>
        <w:rPr>
          <w:rFonts w:ascii="宋体" w:hAnsi="宋体"/>
          <w:szCs w:val="21"/>
        </w:rPr>
        <w:t>不同</w:t>
      </w:r>
      <w:r>
        <w:rPr>
          <w:rFonts w:hint="eastAsia" w:ascii="宋体" w:hAnsi="宋体"/>
          <w:szCs w:val="21"/>
        </w:rPr>
        <w:t>之处在于</w:t>
      </w:r>
      <w:r>
        <w:rPr>
          <w:rFonts w:ascii="宋体" w:hAnsi="宋体"/>
          <w:szCs w:val="21"/>
        </w:rPr>
        <w:t>，从伊斯兰教义来说，</w:t>
      </w:r>
      <w:r>
        <w:rPr>
          <w:rFonts w:hint="eastAsia" w:ascii="宋体" w:hAnsi="宋体"/>
          <w:szCs w:val="21"/>
        </w:rPr>
        <w:t>其</w:t>
      </w:r>
      <w:r>
        <w:rPr>
          <w:rFonts w:ascii="宋体" w:hAnsi="宋体"/>
          <w:szCs w:val="21"/>
        </w:rPr>
        <w:t>合法性非常</w:t>
      </w:r>
      <w:r>
        <w:rPr>
          <w:rFonts w:hint="eastAsia" w:ascii="宋体" w:hAnsi="宋体"/>
          <w:szCs w:val="21"/>
        </w:rPr>
        <w:t>之</w:t>
      </w:r>
      <w:r>
        <w:rPr>
          <w:rFonts w:ascii="宋体" w:hAnsi="宋体"/>
          <w:szCs w:val="21"/>
        </w:rPr>
        <w:t>高。</w:t>
      </w:r>
      <w:r>
        <w:rPr>
          <w:rFonts w:hint="eastAsia" w:ascii="宋体" w:hAnsi="宋体"/>
          <w:szCs w:val="21"/>
        </w:rPr>
        <w:t>一来，</w:t>
      </w:r>
      <w:r>
        <w:rPr>
          <w:rFonts w:ascii="宋体" w:hAnsi="宋体"/>
          <w:szCs w:val="21"/>
        </w:rPr>
        <w:t>他是伊斯兰经学博士</w:t>
      </w:r>
      <w:r>
        <w:rPr>
          <w:rFonts w:hint="eastAsia" w:ascii="宋体" w:hAnsi="宋体"/>
          <w:szCs w:val="21"/>
        </w:rPr>
        <w:t>出身</w:t>
      </w:r>
      <w:r>
        <w:rPr>
          <w:rFonts w:ascii="宋体" w:hAnsi="宋体"/>
          <w:szCs w:val="21"/>
        </w:rPr>
        <w:t>，坐过美国的监狱，又宣称</w:t>
      </w:r>
      <w:r>
        <w:rPr>
          <w:rFonts w:hint="eastAsia" w:ascii="宋体" w:hAnsi="宋体"/>
          <w:szCs w:val="21"/>
        </w:rPr>
        <w:t>自己</w:t>
      </w:r>
      <w:r>
        <w:rPr>
          <w:rFonts w:ascii="宋体" w:hAnsi="宋体"/>
          <w:szCs w:val="21"/>
        </w:rPr>
        <w:t>是血统纯正的</w:t>
      </w:r>
      <w:r>
        <w:rPr>
          <w:rFonts w:hint="eastAsia" w:ascii="宋体" w:hAnsi="宋体"/>
          <w:szCs w:val="21"/>
        </w:rPr>
        <w:t>真主穆罕默德的古莱氏部族的</w:t>
      </w:r>
      <w:r>
        <w:rPr>
          <w:rFonts w:ascii="宋体" w:hAnsi="宋体"/>
          <w:szCs w:val="21"/>
        </w:rPr>
        <w:t>后人</w:t>
      </w:r>
      <w:r>
        <w:rPr>
          <w:rFonts w:hint="eastAsia" w:ascii="宋体" w:hAnsi="宋体"/>
          <w:szCs w:val="21"/>
        </w:rPr>
        <w:t>（即古伊斯兰国的合法继承人）；其次，</w:t>
      </w:r>
      <w:r>
        <w:rPr>
          <w:rFonts w:ascii="宋体" w:hAnsi="宋体"/>
          <w:szCs w:val="21"/>
        </w:rPr>
        <w:t>他宣称将会完全用逊尼派的</w:t>
      </w:r>
      <w:r>
        <w:rPr>
          <w:rFonts w:hint="eastAsia" w:ascii="宋体" w:hAnsi="宋体"/>
          <w:szCs w:val="21"/>
        </w:rPr>
        <w:t>“</w:t>
      </w:r>
      <w:r>
        <w:rPr>
          <w:rFonts w:ascii="宋体" w:hAnsi="宋体"/>
          <w:szCs w:val="21"/>
        </w:rPr>
        <w:t>沙里亚法</w:t>
      </w:r>
      <w:r>
        <w:rPr>
          <w:rFonts w:hint="eastAsia" w:ascii="宋体" w:hAnsi="宋体"/>
          <w:szCs w:val="21"/>
        </w:rPr>
        <w:t>”</w:t>
      </w:r>
      <w:r>
        <w:rPr>
          <w:rFonts w:ascii="宋体" w:hAnsi="宋体"/>
          <w:szCs w:val="21"/>
        </w:rPr>
        <w:t>治国（</w:t>
      </w:r>
      <w:r>
        <w:rPr>
          <w:rFonts w:hint="eastAsia" w:ascii="宋体" w:hAnsi="宋体"/>
          <w:szCs w:val="21"/>
        </w:rPr>
        <w:t>这在</w:t>
      </w:r>
      <w:r>
        <w:rPr>
          <w:rFonts w:ascii="宋体" w:hAnsi="宋体"/>
          <w:szCs w:val="21"/>
        </w:rPr>
        <w:t>目前</w:t>
      </w:r>
      <w:r>
        <w:rPr>
          <w:rFonts w:hint="eastAsia" w:ascii="宋体" w:hAnsi="宋体"/>
          <w:szCs w:val="21"/>
        </w:rPr>
        <w:t>的</w:t>
      </w:r>
      <w:r>
        <w:rPr>
          <w:rFonts w:ascii="宋体" w:hAnsi="宋体"/>
          <w:szCs w:val="21"/>
        </w:rPr>
        <w:t>伊斯兰世界</w:t>
      </w:r>
      <w:r>
        <w:rPr>
          <w:rFonts w:hint="eastAsia" w:ascii="宋体" w:hAnsi="宋体"/>
          <w:szCs w:val="21"/>
        </w:rPr>
        <w:t>来讲，</w:t>
      </w:r>
      <w:r>
        <w:rPr>
          <w:rFonts w:ascii="宋体" w:hAnsi="宋体"/>
          <w:szCs w:val="21"/>
        </w:rPr>
        <w:t>只有极个别国家能</w:t>
      </w:r>
      <w:r>
        <w:rPr>
          <w:rFonts w:hint="eastAsia" w:ascii="宋体" w:hAnsi="宋体"/>
          <w:szCs w:val="21"/>
        </w:rPr>
        <w:t>够</w:t>
      </w:r>
      <w:r>
        <w:rPr>
          <w:rFonts w:ascii="宋体" w:hAnsi="宋体"/>
          <w:szCs w:val="21"/>
        </w:rPr>
        <w:t>实现）</w:t>
      </w:r>
      <w:r>
        <w:rPr>
          <w:rFonts w:hint="eastAsia" w:ascii="宋体" w:hAnsi="宋体"/>
          <w:szCs w:val="21"/>
        </w:rPr>
        <w:t>；最重要的是，他懂得</w:t>
      </w:r>
      <w:r>
        <w:rPr>
          <w:rFonts w:ascii="宋体" w:hAnsi="宋体"/>
          <w:szCs w:val="21"/>
        </w:rPr>
        <w:t>通过网络</w:t>
      </w:r>
      <w:r>
        <w:rPr>
          <w:rFonts w:hint="eastAsia" w:ascii="宋体" w:hAnsi="宋体"/>
          <w:szCs w:val="21"/>
        </w:rPr>
        <w:t>面向</w:t>
      </w:r>
      <w:r>
        <w:rPr>
          <w:rFonts w:ascii="宋体" w:hAnsi="宋体"/>
          <w:szCs w:val="21"/>
        </w:rPr>
        <w:t>全世界招募伊斯兰国家的管理者</w:t>
      </w:r>
      <w:r>
        <w:rPr>
          <w:rFonts w:hint="eastAsia" w:ascii="宋体" w:hAnsi="宋体"/>
          <w:szCs w:val="21"/>
        </w:rPr>
        <w:t>。这些因素使得他在</w:t>
      </w:r>
      <w:r>
        <w:rPr>
          <w:rFonts w:ascii="宋体" w:hAnsi="宋体"/>
          <w:szCs w:val="21"/>
        </w:rPr>
        <w:t>伊斯兰世界</w:t>
      </w:r>
      <w:r>
        <w:rPr>
          <w:rFonts w:hint="eastAsia" w:ascii="宋体" w:hAnsi="宋体"/>
          <w:szCs w:val="21"/>
        </w:rPr>
        <w:t>获得了极高的</w:t>
      </w:r>
      <w:r>
        <w:rPr>
          <w:rFonts w:ascii="宋体" w:hAnsi="宋体"/>
          <w:szCs w:val="21"/>
        </w:rPr>
        <w:t>合法性，</w:t>
      </w:r>
      <w:r>
        <w:rPr>
          <w:rFonts w:hint="eastAsia" w:ascii="宋体" w:hAnsi="宋体"/>
          <w:szCs w:val="21"/>
        </w:rPr>
        <w:t>深受</w:t>
      </w:r>
      <w:r>
        <w:rPr>
          <w:rFonts w:ascii="宋体" w:hAnsi="宋体"/>
          <w:szCs w:val="21"/>
        </w:rPr>
        <w:t>伊斯兰信徒拥戴</w:t>
      </w:r>
      <w:r>
        <w:rPr>
          <w:rFonts w:hint="eastAsia" w:ascii="宋体" w:hAnsi="宋体"/>
          <w:szCs w:val="21"/>
        </w:rPr>
        <w:t>。</w:t>
      </w:r>
      <w:r>
        <w:rPr>
          <w:rStyle w:val="12"/>
          <w:rFonts w:ascii="宋体" w:hAnsi="宋体"/>
          <w:sz w:val="24"/>
        </w:rPr>
        <w:t>[</w:t>
      </w:r>
      <w:r>
        <w:rPr>
          <w:rStyle w:val="12"/>
          <w:rFonts w:ascii="宋体" w:hAnsi="宋体"/>
          <w:sz w:val="24"/>
        </w:rPr>
        <w:footnoteReference w:id="79"/>
      </w:r>
      <w:r>
        <w:rPr>
          <w:rStyle w:val="12"/>
          <w:rFonts w:ascii="宋体" w:hAnsi="宋体"/>
          <w:sz w:val="24"/>
        </w:rPr>
        <w:t>]</w:t>
      </w:r>
      <w:r>
        <w:rPr>
          <w:rFonts w:ascii="宋体" w:hAnsi="宋体"/>
          <w:szCs w:val="21"/>
        </w:rPr>
        <w:t>不知道多少年轻人</w:t>
      </w:r>
      <w:r>
        <w:rPr>
          <w:rFonts w:hint="eastAsia" w:ascii="宋体" w:hAnsi="宋体"/>
          <w:szCs w:val="21"/>
        </w:rPr>
        <w:t>在他的宣讲下</w:t>
      </w:r>
      <w:r>
        <w:rPr>
          <w:rFonts w:ascii="宋体" w:hAnsi="宋体"/>
          <w:szCs w:val="21"/>
        </w:rPr>
        <w:t>血脉偾张</w:t>
      </w:r>
      <w:r>
        <w:rPr>
          <w:rFonts w:hint="eastAsia" w:ascii="宋体" w:hAnsi="宋体"/>
          <w:szCs w:val="21"/>
        </w:rPr>
        <w:t>地</w:t>
      </w:r>
      <w:r>
        <w:rPr>
          <w:rFonts w:ascii="宋体" w:hAnsi="宋体"/>
          <w:szCs w:val="21"/>
        </w:rPr>
        <w:t>要为保卫伊斯兰而战</w:t>
      </w:r>
      <w:r>
        <w:rPr>
          <w:rFonts w:hint="eastAsia" w:ascii="宋体" w:hAnsi="宋体"/>
          <w:szCs w:val="21"/>
        </w:rPr>
        <w:t>，在他们看来，ISIS</w:t>
      </w:r>
      <w:r>
        <w:rPr>
          <w:rFonts w:ascii="宋体" w:hAnsi="宋体"/>
          <w:szCs w:val="21"/>
        </w:rPr>
        <w:t>就是伊斯兰复兴的希望。</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第二点是行动讲究战略。ISIS不同于以往有勇无谋、盲目前进的极端组织，从目前其制造的多次恐怖袭击中不难看出，其行动上是十分讲究战略和预谋的。就拿之前的巴黎恐袭事件来说，无论是在</w:t>
      </w:r>
      <w:r>
        <w:rPr>
          <w:rFonts w:ascii="宋体" w:hAnsi="宋体"/>
          <w:szCs w:val="21"/>
        </w:rPr>
        <w:t>手法上</w:t>
      </w:r>
      <w:r>
        <w:rPr>
          <w:rFonts w:hint="eastAsia" w:ascii="宋体" w:hAnsi="宋体"/>
          <w:szCs w:val="21"/>
        </w:rPr>
        <w:t>还是配合</w:t>
      </w:r>
      <w:r>
        <w:rPr>
          <w:rFonts w:ascii="宋体" w:hAnsi="宋体"/>
          <w:szCs w:val="21"/>
        </w:rPr>
        <w:t>上</w:t>
      </w:r>
      <w:r>
        <w:rPr>
          <w:rFonts w:hint="eastAsia" w:ascii="宋体" w:hAnsi="宋体"/>
          <w:szCs w:val="21"/>
        </w:rPr>
        <w:t>，都显现出ISIS周密的预谋策划能力和</w:t>
      </w:r>
      <w:r>
        <w:rPr>
          <w:rFonts w:ascii="宋体" w:hAnsi="宋体"/>
          <w:szCs w:val="21"/>
        </w:rPr>
        <w:t>严密的组织协调</w:t>
      </w:r>
      <w:r>
        <w:rPr>
          <w:rFonts w:hint="eastAsia" w:ascii="宋体" w:hAnsi="宋体"/>
          <w:szCs w:val="21"/>
        </w:rPr>
        <w:t>能力</w:t>
      </w:r>
      <w:r>
        <w:rPr>
          <w:rFonts w:ascii="宋体" w:hAnsi="宋体"/>
          <w:szCs w:val="21"/>
        </w:rPr>
        <w:t>，</w:t>
      </w:r>
      <w:r>
        <w:rPr>
          <w:rFonts w:hint="eastAsia" w:ascii="宋体" w:hAnsi="宋体"/>
          <w:szCs w:val="21"/>
        </w:rPr>
        <w:t>这也使得这次袭击</w:t>
      </w:r>
      <w:r>
        <w:rPr>
          <w:rFonts w:ascii="宋体" w:hAnsi="宋体"/>
          <w:szCs w:val="21"/>
        </w:rPr>
        <w:t>造成</w:t>
      </w:r>
      <w:r>
        <w:rPr>
          <w:rFonts w:hint="eastAsia" w:ascii="宋体" w:hAnsi="宋体"/>
          <w:szCs w:val="21"/>
        </w:rPr>
        <w:t>了</w:t>
      </w:r>
      <w:r>
        <w:rPr>
          <w:rFonts w:ascii="宋体" w:hAnsi="宋体"/>
          <w:szCs w:val="21"/>
        </w:rPr>
        <w:t>法国四十</w:t>
      </w:r>
      <w:r>
        <w:rPr>
          <w:rFonts w:hint="eastAsia" w:ascii="宋体" w:hAnsi="宋体"/>
          <w:szCs w:val="21"/>
        </w:rPr>
        <w:t>多</w:t>
      </w:r>
      <w:r>
        <w:rPr>
          <w:rFonts w:ascii="宋体" w:hAnsi="宋体"/>
          <w:szCs w:val="21"/>
        </w:rPr>
        <w:t>年来</w:t>
      </w:r>
      <w:r>
        <w:rPr>
          <w:rFonts w:hint="eastAsia" w:ascii="宋体" w:hAnsi="宋体"/>
          <w:szCs w:val="21"/>
        </w:rPr>
        <w:t>最惨重的人员伤亡</w:t>
      </w:r>
      <w:r>
        <w:rPr>
          <w:rFonts w:ascii="宋体" w:hAnsi="宋体"/>
          <w:szCs w:val="21"/>
        </w:rPr>
        <w:t>。</w:t>
      </w:r>
      <w:r>
        <w:rPr>
          <w:rFonts w:hint="eastAsia" w:ascii="宋体" w:hAnsi="宋体"/>
          <w:szCs w:val="21"/>
        </w:rPr>
        <w:t>总结事件经过，可以发现ISIS此次恐怖袭击两个显著的作案特点：一是</w:t>
      </w:r>
      <w:r>
        <w:rPr>
          <w:rFonts w:ascii="宋体" w:hAnsi="宋体"/>
          <w:szCs w:val="21"/>
        </w:rPr>
        <w:t>多种手段并用。</w:t>
      </w:r>
      <w:r>
        <w:rPr>
          <w:rFonts w:hint="eastAsia" w:ascii="宋体" w:hAnsi="宋体"/>
          <w:szCs w:val="21"/>
        </w:rPr>
        <w:t>ISIS此番袭击巴黎，制造了</w:t>
      </w:r>
      <w:r>
        <w:rPr>
          <w:rFonts w:ascii="宋体" w:hAnsi="宋体"/>
          <w:szCs w:val="21"/>
        </w:rPr>
        <w:t>多起枪击</w:t>
      </w:r>
      <w:r>
        <w:rPr>
          <w:rFonts w:hint="eastAsia" w:ascii="宋体" w:hAnsi="宋体"/>
          <w:szCs w:val="21"/>
        </w:rPr>
        <w:t>、</w:t>
      </w:r>
      <w:r>
        <w:rPr>
          <w:rFonts w:ascii="宋体" w:hAnsi="宋体"/>
          <w:szCs w:val="21"/>
        </w:rPr>
        <w:t>爆炸以及人质劫持事件。这种多手段并用的恐怖袭击</w:t>
      </w:r>
      <w:r>
        <w:rPr>
          <w:rFonts w:hint="eastAsia" w:ascii="宋体" w:hAnsi="宋体"/>
          <w:szCs w:val="21"/>
        </w:rPr>
        <w:t>还是第一次在像法国这样的发达国家出现</w:t>
      </w:r>
      <w:r>
        <w:rPr>
          <w:rFonts w:ascii="宋体" w:hAnsi="宋体"/>
          <w:szCs w:val="21"/>
        </w:rPr>
        <w:t>。</w:t>
      </w:r>
      <w:r>
        <w:rPr>
          <w:rFonts w:hint="eastAsia" w:ascii="宋体" w:hAnsi="宋体"/>
          <w:szCs w:val="21"/>
        </w:rPr>
        <w:t>较比以往单一手段的恐怖袭击，ISIS之所以选择这样复杂的袭击手段，是因为多重袭击可以带来更大范围的骚乱和更惨重的伤害，如此也更有利于达成其制造恐慌的目的。二是</w:t>
      </w:r>
      <w:r>
        <w:rPr>
          <w:rFonts w:ascii="宋体" w:hAnsi="宋体"/>
          <w:szCs w:val="21"/>
        </w:rPr>
        <w:t>在时间协同上达到高度一致</w:t>
      </w:r>
      <w:r>
        <w:rPr>
          <w:rFonts w:hint="eastAsia" w:ascii="宋体" w:hAnsi="宋体"/>
          <w:szCs w:val="21"/>
        </w:rPr>
        <w:t>。当晚的多起</w:t>
      </w:r>
      <w:r>
        <w:rPr>
          <w:rFonts w:ascii="宋体" w:hAnsi="宋体"/>
          <w:szCs w:val="21"/>
        </w:rPr>
        <w:t>恐怖袭击案件几乎是同时在不同的地点以不同的形式发生的，</w:t>
      </w:r>
      <w:r>
        <w:rPr>
          <w:rFonts w:hint="eastAsia" w:ascii="宋体" w:hAnsi="宋体"/>
          <w:szCs w:val="21"/>
        </w:rPr>
        <w:t>如果没有经过事先周密的谋划和安排很难达到多地时间点上如此紧密的配合。而多处在同时段相继爆发袭击一来可以分散救援力量，二来可以制造更大的声势，掀起恐慌的浪潮。</w:t>
      </w:r>
      <w:r>
        <w:rPr>
          <w:rFonts w:ascii="宋体" w:hAnsi="宋体"/>
          <w:szCs w:val="21"/>
        </w:rPr>
        <w:t>从这一点也可以看到</w:t>
      </w:r>
      <w:r>
        <w:rPr>
          <w:rFonts w:hint="eastAsia" w:ascii="宋体" w:hAnsi="宋体"/>
          <w:szCs w:val="21"/>
        </w:rPr>
        <w:t>ISIS的组织</w:t>
      </w:r>
      <w:r>
        <w:rPr>
          <w:rFonts w:ascii="宋体" w:hAnsi="宋体"/>
          <w:szCs w:val="21"/>
        </w:rPr>
        <w:t>协调性在不断强化。</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第三点是较高的军事素养。</w:t>
      </w:r>
      <w:r>
        <w:rPr>
          <w:rFonts w:ascii="宋体" w:hAnsi="宋体"/>
          <w:szCs w:val="21"/>
        </w:rPr>
        <w:t>ISIS</w:t>
      </w:r>
      <w:r>
        <w:rPr>
          <w:rFonts w:hint="eastAsia" w:ascii="宋体" w:hAnsi="宋体"/>
          <w:szCs w:val="21"/>
        </w:rPr>
        <w:t>组织的成员主要是</w:t>
      </w:r>
      <w:r>
        <w:rPr>
          <w:rFonts w:ascii="宋体" w:hAnsi="宋体"/>
          <w:szCs w:val="21"/>
        </w:rPr>
        <w:t>萨达姆</w:t>
      </w:r>
      <w:r>
        <w:rPr>
          <w:rFonts w:hint="eastAsia" w:ascii="宋体" w:hAnsi="宋体"/>
          <w:szCs w:val="21"/>
        </w:rPr>
        <w:t>时期伊拉克共和国卫队残留的</w:t>
      </w:r>
      <w:r>
        <w:rPr>
          <w:rFonts w:ascii="宋体" w:hAnsi="宋体"/>
          <w:szCs w:val="21"/>
        </w:rPr>
        <w:t>军官</w:t>
      </w:r>
      <w:r>
        <w:rPr>
          <w:rFonts w:hint="eastAsia" w:ascii="宋体" w:hAnsi="宋体"/>
          <w:szCs w:val="21"/>
        </w:rPr>
        <w:t>和士兵</w:t>
      </w:r>
      <w:r>
        <w:rPr>
          <w:rFonts w:ascii="宋体" w:hAnsi="宋体"/>
          <w:szCs w:val="21"/>
        </w:rPr>
        <w:t>，他们在萨达姆</w:t>
      </w:r>
      <w:r>
        <w:rPr>
          <w:rFonts w:hint="eastAsia" w:ascii="宋体" w:hAnsi="宋体"/>
          <w:szCs w:val="21"/>
        </w:rPr>
        <w:t>失势</w:t>
      </w:r>
      <w:r>
        <w:rPr>
          <w:rFonts w:ascii="宋体" w:hAnsi="宋体"/>
          <w:szCs w:val="21"/>
        </w:rPr>
        <w:t>后</w:t>
      </w:r>
      <w:r>
        <w:rPr>
          <w:rFonts w:hint="eastAsia" w:ascii="宋体" w:hAnsi="宋体"/>
          <w:szCs w:val="21"/>
        </w:rPr>
        <w:t>一度</w:t>
      </w:r>
      <w:r>
        <w:rPr>
          <w:rFonts w:ascii="宋体" w:hAnsi="宋体"/>
          <w:szCs w:val="21"/>
        </w:rPr>
        <w:t>被什叶派政府</w:t>
      </w:r>
      <w:r>
        <w:rPr>
          <w:rFonts w:hint="eastAsia" w:ascii="宋体" w:hAnsi="宋体"/>
          <w:szCs w:val="21"/>
        </w:rPr>
        <w:t>大力</w:t>
      </w:r>
      <w:r>
        <w:rPr>
          <w:rFonts w:ascii="宋体" w:hAnsi="宋体"/>
          <w:szCs w:val="21"/>
        </w:rPr>
        <w:t>打压，有一天突然发现</w:t>
      </w:r>
      <w:r>
        <w:rPr>
          <w:rFonts w:hint="eastAsia" w:ascii="宋体" w:hAnsi="宋体"/>
          <w:szCs w:val="21"/>
        </w:rPr>
        <w:t>出现</w:t>
      </w:r>
      <w:r>
        <w:rPr>
          <w:rFonts w:ascii="宋体" w:hAnsi="宋体"/>
          <w:szCs w:val="21"/>
        </w:rPr>
        <w:t>了自己派别的组织和军队，</w:t>
      </w:r>
      <w:r>
        <w:rPr>
          <w:rFonts w:hint="eastAsia" w:ascii="宋体" w:hAnsi="宋体"/>
          <w:szCs w:val="21"/>
        </w:rPr>
        <w:t>其回归效力的心情有多么热切就可想而知。加之正规军队出身，实际作战、武器使用甚至军事策略等都经历过严格的专业训练，因而已经具备了较高的军事素养，大大带动了ISIS组织整体军事实力的提升。</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jc w:val="both"/>
        <w:textAlignment w:val="auto"/>
        <w:outlineLvl w:val="9"/>
        <w:rPr>
          <w:rFonts w:hint="eastAsia" w:ascii="宋体" w:hAnsi="宋体"/>
          <w:b/>
          <w:sz w:val="24"/>
        </w:rPr>
      </w:pPr>
      <w:r>
        <w:rPr>
          <w:rFonts w:hint="eastAsia" w:ascii="宋体" w:hAnsi="宋体"/>
          <w:b/>
          <w:sz w:val="24"/>
        </w:rPr>
        <w:t>（二）外部因素</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除了以上三点自身因素外，ISIS的外部条件也可谓十分有利。以往的恐怖组织往往会在资金不足、装备简陋上占尽劣势，然而ISIS却因为有着五大资金来源渠道而将资金充足变成了其一大优势，得以不断将大量资金投在武器购买和自身扩张上。</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第一渠道源于富豪资助。</w:t>
      </w:r>
      <w:r>
        <w:rPr>
          <w:rFonts w:ascii="宋体" w:hAnsi="宋体"/>
          <w:szCs w:val="21"/>
        </w:rPr>
        <w:t>中东极端富豪以及一些有政治目的的国家私下</w:t>
      </w:r>
      <w:r>
        <w:rPr>
          <w:rFonts w:hint="eastAsia" w:ascii="宋体" w:hAnsi="宋体"/>
          <w:szCs w:val="21"/>
        </w:rPr>
        <w:t>给予</w:t>
      </w:r>
      <w:r>
        <w:rPr>
          <w:rFonts w:ascii="宋体" w:hAnsi="宋体"/>
          <w:szCs w:val="21"/>
        </w:rPr>
        <w:t>资助是最传统的恐怖组织的资金来源。中东石油遍地，富豪</w:t>
      </w:r>
      <w:r>
        <w:rPr>
          <w:rFonts w:hint="eastAsia" w:ascii="宋体" w:hAnsi="宋体"/>
          <w:szCs w:val="21"/>
        </w:rPr>
        <w:t>多不胜数</w:t>
      </w:r>
      <w:r>
        <w:rPr>
          <w:rFonts w:ascii="宋体" w:hAnsi="宋体"/>
          <w:szCs w:val="21"/>
        </w:rPr>
        <w:t>，而不少穆斯林的心里都有一颗复兴伊斯兰世界的心。</w:t>
      </w:r>
      <w:r>
        <w:rPr>
          <w:rFonts w:hint="eastAsia" w:ascii="宋体" w:hAnsi="宋体"/>
          <w:szCs w:val="21"/>
        </w:rPr>
        <w:t>私下的金钱资助是ISIS资金的一大来源。</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第二是通过合并、扩张获得了一部分金钱。起初ISIS尚处于ISIL时期时，还主要依附于基地组织，需要靠基地组织的拨款支撑其活动。因资金来源上的被动，ISIL常常通过抢掠平民以及绑架人质、拦路收费等恶行搜刮钱财。在这个过程中，ISIL所用手段极其残忍，甚至遭到了基地组织高层的反对。又适逢叙利亚内乱，ISIL组织便索性从基地组织中抽身出来单干。这期间，ISIS先后占领了多座美伊战争后</w:t>
      </w:r>
      <w:r>
        <w:rPr>
          <w:rFonts w:ascii="宋体" w:hAnsi="宋体"/>
          <w:szCs w:val="21"/>
        </w:rPr>
        <w:t>美国</w:t>
      </w:r>
      <w:r>
        <w:rPr>
          <w:rFonts w:hint="eastAsia" w:ascii="宋体" w:hAnsi="宋体"/>
          <w:szCs w:val="21"/>
        </w:rPr>
        <w:t>遗留在</w:t>
      </w:r>
      <w:r>
        <w:rPr>
          <w:rFonts w:ascii="宋体" w:hAnsi="宋体"/>
          <w:szCs w:val="21"/>
        </w:rPr>
        <w:t>伊拉克的军火库</w:t>
      </w:r>
      <w:r>
        <w:rPr>
          <w:rFonts w:hint="eastAsia" w:ascii="宋体" w:hAnsi="宋体"/>
          <w:szCs w:val="21"/>
        </w:rPr>
        <w:t>，因而得以补充了大量先进的美式装备。</w:t>
      </w:r>
      <w:r>
        <w:rPr>
          <w:rStyle w:val="12"/>
          <w:rFonts w:ascii="宋体" w:hAnsi="宋体"/>
          <w:sz w:val="24"/>
        </w:rPr>
        <w:t>[</w:t>
      </w:r>
      <w:r>
        <w:rPr>
          <w:rStyle w:val="12"/>
          <w:rFonts w:ascii="宋体" w:hAnsi="宋体"/>
          <w:sz w:val="24"/>
        </w:rPr>
        <w:footnoteReference w:id="80"/>
      </w:r>
      <w:r>
        <w:rPr>
          <w:rStyle w:val="12"/>
          <w:rFonts w:ascii="宋体" w:hAnsi="宋体"/>
          <w:sz w:val="24"/>
        </w:rPr>
        <w:t>]</w:t>
      </w:r>
      <w:r>
        <w:rPr>
          <w:rFonts w:hint="eastAsia" w:ascii="宋体" w:hAnsi="宋体"/>
          <w:szCs w:val="21"/>
        </w:rPr>
        <w:t>再加上“胜利阵线”组织在叙利亚的反对派中属于实力最强的一支力量，与其合并，更使得ISIS在金钱和战斗力上都得到了较大的提升。不难发现，此时的ISIS已经同时具备了较高的军事素养、储备丰富的军火库以及先进的美式装备，凭借其此时的实力，叙利亚政府军以及其他抵抗ISIS的反对派已很难再与其抗争了，于是ISIS以相当快的速度</w:t>
      </w:r>
      <w:r>
        <w:rPr>
          <w:rFonts w:ascii="宋体" w:hAnsi="宋体"/>
          <w:szCs w:val="21"/>
        </w:rPr>
        <w:t>控制了伊拉克与叙利亚的</w:t>
      </w:r>
      <w:r>
        <w:rPr>
          <w:rFonts w:hint="eastAsia" w:ascii="宋体" w:hAnsi="宋体"/>
          <w:szCs w:val="21"/>
        </w:rPr>
        <w:t>一些</w:t>
      </w:r>
      <w:r>
        <w:rPr>
          <w:rFonts w:ascii="宋体" w:hAnsi="宋体"/>
          <w:szCs w:val="21"/>
        </w:rPr>
        <w:t>重镇</w:t>
      </w:r>
      <w:r>
        <w:rPr>
          <w:rFonts w:hint="eastAsia" w:ascii="宋体" w:hAnsi="宋体"/>
          <w:szCs w:val="21"/>
        </w:rPr>
        <w:t>。在军事扩张的过程中，仅是</w:t>
      </w:r>
      <w:r>
        <w:rPr>
          <w:rFonts w:ascii="宋体" w:hAnsi="宋体"/>
          <w:szCs w:val="21"/>
        </w:rPr>
        <w:t>抢</w:t>
      </w:r>
      <w:r>
        <w:rPr>
          <w:rFonts w:hint="eastAsia" w:ascii="宋体" w:hAnsi="宋体"/>
          <w:szCs w:val="21"/>
        </w:rPr>
        <w:t>夺</w:t>
      </w:r>
      <w:r>
        <w:rPr>
          <w:rFonts w:ascii="宋体" w:hAnsi="宋体"/>
          <w:szCs w:val="21"/>
        </w:rPr>
        <w:t>摩苏尔银行就</w:t>
      </w:r>
      <w:r>
        <w:rPr>
          <w:rFonts w:hint="eastAsia" w:ascii="宋体" w:hAnsi="宋体"/>
          <w:szCs w:val="21"/>
        </w:rPr>
        <w:t>使其获得了</w:t>
      </w:r>
      <w:r>
        <w:rPr>
          <w:rFonts w:ascii="宋体" w:hAnsi="宋体"/>
          <w:szCs w:val="21"/>
        </w:rPr>
        <w:t>4亿多美元</w:t>
      </w:r>
      <w:r>
        <w:rPr>
          <w:rFonts w:hint="eastAsia" w:ascii="宋体" w:hAnsi="宋体"/>
          <w:szCs w:val="21"/>
        </w:rPr>
        <w:t>。</w:t>
      </w:r>
      <w:r>
        <w:rPr>
          <w:rStyle w:val="12"/>
          <w:rFonts w:ascii="宋体" w:hAnsi="宋体"/>
          <w:sz w:val="24"/>
        </w:rPr>
        <w:t>[</w:t>
      </w:r>
      <w:r>
        <w:rPr>
          <w:rStyle w:val="12"/>
          <w:rFonts w:ascii="宋体" w:hAnsi="宋体"/>
          <w:sz w:val="24"/>
        </w:rPr>
        <w:footnoteReference w:id="81"/>
      </w:r>
      <w:r>
        <w:rPr>
          <w:rStyle w:val="12"/>
          <w:rFonts w:ascii="宋体" w:hAnsi="宋体"/>
          <w:sz w:val="24"/>
        </w:rPr>
        <w:t>]</w:t>
      </w:r>
      <w:r>
        <w:rPr>
          <w:rFonts w:hint="eastAsia" w:ascii="宋体" w:hAnsi="宋体"/>
          <w:szCs w:val="21"/>
        </w:rPr>
        <w:t>但这还不是其获取金钱的主要渠道。</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第三大渠道也就是ISIS最主要的财富来源，便是控制中东地区的大量油田。ISIS</w:t>
      </w:r>
      <w:r>
        <w:rPr>
          <w:rFonts w:ascii="宋体" w:hAnsi="宋体"/>
          <w:szCs w:val="21"/>
        </w:rPr>
        <w:t>控制</w:t>
      </w:r>
      <w:r>
        <w:rPr>
          <w:rFonts w:hint="eastAsia" w:ascii="宋体" w:hAnsi="宋体"/>
          <w:szCs w:val="21"/>
        </w:rPr>
        <w:t>了所占领土地上的</w:t>
      </w:r>
      <w:r>
        <w:rPr>
          <w:rFonts w:ascii="宋体" w:hAnsi="宋体"/>
          <w:szCs w:val="21"/>
        </w:rPr>
        <w:t>油田</w:t>
      </w:r>
      <w:r>
        <w:rPr>
          <w:rFonts w:hint="eastAsia" w:ascii="宋体" w:hAnsi="宋体"/>
          <w:szCs w:val="21"/>
        </w:rPr>
        <w:t>后</w:t>
      </w:r>
      <w:r>
        <w:rPr>
          <w:rFonts w:ascii="宋体" w:hAnsi="宋体"/>
          <w:szCs w:val="21"/>
        </w:rPr>
        <w:t>，</w:t>
      </w:r>
      <w:r>
        <w:rPr>
          <w:rFonts w:hint="eastAsia" w:ascii="宋体" w:hAnsi="宋体"/>
          <w:szCs w:val="21"/>
        </w:rPr>
        <w:t>便开始通过</w:t>
      </w:r>
      <w:r>
        <w:rPr>
          <w:rFonts w:ascii="宋体" w:hAnsi="宋体"/>
          <w:szCs w:val="21"/>
        </w:rPr>
        <w:t>黑市</w:t>
      </w:r>
      <w:r>
        <w:rPr>
          <w:rFonts w:hint="eastAsia" w:ascii="宋体" w:hAnsi="宋体"/>
          <w:szCs w:val="21"/>
        </w:rPr>
        <w:t>售</w:t>
      </w:r>
      <w:r>
        <w:rPr>
          <w:rFonts w:ascii="宋体" w:hAnsi="宋体"/>
          <w:szCs w:val="21"/>
        </w:rPr>
        <w:t>卖原油</w:t>
      </w:r>
      <w:r>
        <w:rPr>
          <w:rFonts w:hint="eastAsia" w:ascii="宋体" w:hAnsi="宋体"/>
          <w:szCs w:val="21"/>
        </w:rPr>
        <w:t>了</w:t>
      </w:r>
      <w:r>
        <w:rPr>
          <w:rFonts w:ascii="宋体" w:hAnsi="宋体"/>
          <w:szCs w:val="21"/>
        </w:rPr>
        <w:t>。</w:t>
      </w:r>
      <w:r>
        <w:rPr>
          <w:rFonts w:hint="eastAsia" w:ascii="宋体" w:hAnsi="宋体"/>
          <w:szCs w:val="21"/>
        </w:rPr>
        <w:t>在</w:t>
      </w:r>
      <w:r>
        <w:rPr>
          <w:rFonts w:ascii="宋体" w:hAnsi="宋体"/>
          <w:szCs w:val="21"/>
        </w:rPr>
        <w:t>伊拉</w:t>
      </w:r>
      <w:r>
        <w:rPr>
          <w:rFonts w:hint="eastAsia" w:ascii="宋体" w:hAnsi="宋体"/>
          <w:szCs w:val="21"/>
        </w:rPr>
        <w:t>克，</w:t>
      </w:r>
      <w:r>
        <w:rPr>
          <w:rFonts w:ascii="宋体" w:hAnsi="宋体"/>
          <w:szCs w:val="21"/>
        </w:rPr>
        <w:t>ISIS控制了</w:t>
      </w:r>
      <w:r>
        <w:rPr>
          <w:rFonts w:hint="eastAsia" w:ascii="宋体" w:hAnsi="宋体"/>
          <w:szCs w:val="21"/>
        </w:rPr>
        <w:t>至少</w:t>
      </w:r>
      <w:r>
        <w:rPr>
          <w:rFonts w:ascii="宋体" w:hAnsi="宋体"/>
          <w:szCs w:val="21"/>
        </w:rPr>
        <w:t>5座油田，</w:t>
      </w:r>
      <w:r>
        <w:rPr>
          <w:rFonts w:hint="eastAsia" w:ascii="宋体" w:hAnsi="宋体"/>
          <w:szCs w:val="21"/>
        </w:rPr>
        <w:t>且在</w:t>
      </w:r>
      <w:r>
        <w:rPr>
          <w:rFonts w:ascii="宋体" w:hAnsi="宋体"/>
          <w:szCs w:val="21"/>
        </w:rPr>
        <w:t>叙利亚</w:t>
      </w:r>
      <w:r>
        <w:rPr>
          <w:rFonts w:hint="eastAsia" w:ascii="宋体" w:hAnsi="宋体"/>
          <w:szCs w:val="21"/>
        </w:rPr>
        <w:t>还有另外</w:t>
      </w:r>
      <w:r>
        <w:rPr>
          <w:rFonts w:ascii="宋体" w:hAnsi="宋体"/>
          <w:szCs w:val="21"/>
        </w:rPr>
        <w:t>6座</w:t>
      </w:r>
      <w:r>
        <w:rPr>
          <w:rFonts w:hint="eastAsia" w:ascii="宋体" w:hAnsi="宋体"/>
          <w:szCs w:val="21"/>
        </w:rPr>
        <w:t>。</w:t>
      </w:r>
      <w:r>
        <w:rPr>
          <w:rFonts w:ascii="宋体" w:hAnsi="宋体"/>
          <w:szCs w:val="21"/>
        </w:rPr>
        <w:t>通过黑市或者内线</w:t>
      </w:r>
      <w:r>
        <w:rPr>
          <w:rFonts w:hint="eastAsia" w:ascii="宋体" w:hAnsi="宋体"/>
          <w:szCs w:val="21"/>
        </w:rPr>
        <w:t>即便是以极低的价格</w:t>
      </w:r>
      <w:r>
        <w:rPr>
          <w:rFonts w:ascii="宋体" w:hAnsi="宋体"/>
          <w:szCs w:val="21"/>
        </w:rPr>
        <w:t>把原油售出，一天</w:t>
      </w:r>
      <w:r>
        <w:rPr>
          <w:rFonts w:hint="eastAsia" w:ascii="宋体" w:hAnsi="宋体"/>
          <w:szCs w:val="21"/>
        </w:rPr>
        <w:t>也</w:t>
      </w:r>
      <w:r>
        <w:rPr>
          <w:rFonts w:ascii="宋体" w:hAnsi="宋体"/>
          <w:szCs w:val="21"/>
        </w:rPr>
        <w:t>能收入将近200万美元。</w:t>
      </w:r>
      <w:r>
        <w:rPr>
          <w:rStyle w:val="12"/>
          <w:rFonts w:ascii="宋体" w:hAnsi="宋体"/>
          <w:sz w:val="24"/>
        </w:rPr>
        <w:t>[</w:t>
      </w:r>
      <w:r>
        <w:rPr>
          <w:rStyle w:val="12"/>
          <w:rFonts w:ascii="宋体" w:hAnsi="宋体"/>
          <w:sz w:val="24"/>
        </w:rPr>
        <w:footnoteReference w:id="82"/>
      </w:r>
      <w:r>
        <w:rPr>
          <w:rStyle w:val="12"/>
          <w:rFonts w:ascii="宋体" w:hAnsi="宋体"/>
          <w:sz w:val="24"/>
        </w:rPr>
        <w:t>]</w:t>
      </w:r>
      <w:r>
        <w:rPr>
          <w:rFonts w:hint="eastAsia" w:ascii="宋体" w:hAnsi="宋体"/>
          <w:szCs w:val="21"/>
        </w:rPr>
        <w:t>这才是</w:t>
      </w:r>
      <w:r>
        <w:rPr>
          <w:rFonts w:ascii="宋体" w:hAnsi="宋体"/>
          <w:szCs w:val="21"/>
        </w:rPr>
        <w:t>ISIS</w:t>
      </w:r>
      <w:r>
        <w:rPr>
          <w:rFonts w:hint="eastAsia" w:ascii="宋体" w:hAnsi="宋体"/>
          <w:szCs w:val="21"/>
        </w:rPr>
        <w:t>组织最大的“金库”</w:t>
      </w:r>
      <w:r>
        <w:rPr>
          <w:rFonts w:ascii="宋体" w:hAnsi="宋体"/>
          <w:szCs w:val="21"/>
        </w:rPr>
        <w:t>。</w:t>
      </w:r>
      <w:r>
        <w:rPr>
          <w:rFonts w:hint="eastAsia" w:ascii="宋体" w:hAnsi="宋体"/>
          <w:szCs w:val="21"/>
        </w:rPr>
        <w:t>加之</w:t>
      </w:r>
      <w:r>
        <w:rPr>
          <w:rFonts w:ascii="宋体" w:hAnsi="宋体"/>
          <w:szCs w:val="21"/>
        </w:rPr>
        <w:t>伊斯兰世界无比复杂</w:t>
      </w:r>
      <w:r>
        <w:rPr>
          <w:rFonts w:hint="eastAsia" w:ascii="宋体" w:hAnsi="宋体"/>
          <w:szCs w:val="21"/>
        </w:rPr>
        <w:t>且</w:t>
      </w:r>
      <w:r>
        <w:rPr>
          <w:rFonts w:ascii="宋体" w:hAnsi="宋体"/>
          <w:szCs w:val="21"/>
        </w:rPr>
        <w:t>稳定的洗钱网络</w:t>
      </w:r>
      <w:r>
        <w:rPr>
          <w:rFonts w:hint="eastAsia" w:ascii="宋体" w:hAnsi="宋体"/>
          <w:szCs w:val="21"/>
        </w:rPr>
        <w:t>也帮了ISIS大忙，金钱已不再会成为ISIS的后顾之忧。</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第四，</w:t>
      </w:r>
      <w:r>
        <w:rPr>
          <w:rFonts w:ascii="宋体" w:hAnsi="宋体"/>
          <w:szCs w:val="21"/>
        </w:rPr>
        <w:t>绑架勒索</w:t>
      </w:r>
      <w:r>
        <w:rPr>
          <w:rFonts w:hint="eastAsia" w:ascii="宋体" w:hAnsi="宋体"/>
          <w:szCs w:val="21"/>
        </w:rPr>
        <w:t>。拥有了资助、军火库、油田、银行的ISIS已不</w:t>
      </w:r>
      <w:r>
        <w:rPr>
          <w:rFonts w:ascii="宋体" w:hAnsi="宋体"/>
          <w:szCs w:val="21"/>
        </w:rPr>
        <w:t>是</w:t>
      </w:r>
      <w:r>
        <w:rPr>
          <w:rFonts w:hint="eastAsia" w:ascii="宋体" w:hAnsi="宋体"/>
          <w:szCs w:val="21"/>
        </w:rPr>
        <w:t>需要</w:t>
      </w:r>
      <w:r>
        <w:rPr>
          <w:rFonts w:ascii="宋体" w:hAnsi="宋体"/>
          <w:szCs w:val="21"/>
        </w:rPr>
        <w:t>靠</w:t>
      </w:r>
      <w:r>
        <w:rPr>
          <w:rFonts w:hint="eastAsia" w:ascii="宋体" w:hAnsi="宋体"/>
          <w:szCs w:val="21"/>
        </w:rPr>
        <w:t>拨款、</w:t>
      </w:r>
      <w:r>
        <w:rPr>
          <w:rFonts w:ascii="宋体" w:hAnsi="宋体"/>
          <w:szCs w:val="21"/>
        </w:rPr>
        <w:t>打劫</w:t>
      </w:r>
      <w:r>
        <w:rPr>
          <w:rFonts w:hint="eastAsia" w:ascii="宋体" w:hAnsi="宋体"/>
          <w:szCs w:val="21"/>
        </w:rPr>
        <w:t>才能得</w:t>
      </w:r>
      <w:r>
        <w:rPr>
          <w:rFonts w:ascii="宋体" w:hAnsi="宋体"/>
          <w:szCs w:val="21"/>
        </w:rPr>
        <w:t>以维生的小组织；而</w:t>
      </w:r>
      <w:r>
        <w:rPr>
          <w:rFonts w:hint="eastAsia" w:ascii="宋体" w:hAnsi="宋体"/>
          <w:szCs w:val="21"/>
        </w:rPr>
        <w:t>早已演化成</w:t>
      </w:r>
      <w:r>
        <w:rPr>
          <w:rFonts w:ascii="宋体" w:hAnsi="宋体"/>
          <w:szCs w:val="21"/>
        </w:rPr>
        <w:t>一个拥有土地</w:t>
      </w:r>
      <w:r>
        <w:rPr>
          <w:rFonts w:hint="eastAsia" w:ascii="宋体" w:hAnsi="宋体"/>
          <w:szCs w:val="21"/>
        </w:rPr>
        <w:t>、</w:t>
      </w:r>
      <w:r>
        <w:rPr>
          <w:rFonts w:ascii="宋体" w:hAnsi="宋体"/>
          <w:szCs w:val="21"/>
        </w:rPr>
        <w:t>能源</w:t>
      </w:r>
      <w:r>
        <w:rPr>
          <w:rFonts w:hint="eastAsia" w:ascii="宋体" w:hAnsi="宋体"/>
          <w:szCs w:val="21"/>
        </w:rPr>
        <w:t>、</w:t>
      </w:r>
      <w:r>
        <w:rPr>
          <w:rFonts w:ascii="宋体" w:hAnsi="宋体"/>
          <w:szCs w:val="21"/>
        </w:rPr>
        <w:t>装备</w:t>
      </w:r>
      <w:r>
        <w:rPr>
          <w:rFonts w:hint="eastAsia" w:ascii="宋体" w:hAnsi="宋体"/>
          <w:szCs w:val="21"/>
        </w:rPr>
        <w:t>、</w:t>
      </w:r>
      <w:r>
        <w:rPr>
          <w:rFonts w:ascii="宋体" w:hAnsi="宋体"/>
          <w:szCs w:val="21"/>
        </w:rPr>
        <w:t>人口的</w:t>
      </w:r>
      <w:r>
        <w:rPr>
          <w:rFonts w:hint="eastAsia" w:ascii="宋体" w:hAnsi="宋体"/>
          <w:szCs w:val="21"/>
        </w:rPr>
        <w:t>堪称</w:t>
      </w:r>
      <w:r>
        <w:rPr>
          <w:rFonts w:ascii="宋体" w:hAnsi="宋体"/>
          <w:szCs w:val="21"/>
        </w:rPr>
        <w:t>国家级别的恐怖组织</w:t>
      </w:r>
      <w:r>
        <w:rPr>
          <w:rFonts w:hint="eastAsia" w:ascii="宋体" w:hAnsi="宋体"/>
          <w:szCs w:val="21"/>
        </w:rPr>
        <w:t>了</w:t>
      </w:r>
      <w:r>
        <w:rPr>
          <w:rFonts w:ascii="宋体" w:hAnsi="宋体"/>
          <w:szCs w:val="21"/>
        </w:rPr>
        <w:t>。</w:t>
      </w:r>
      <w:r>
        <w:rPr>
          <w:rFonts w:hint="eastAsia" w:ascii="宋体" w:hAnsi="宋体"/>
          <w:szCs w:val="21"/>
        </w:rPr>
        <w:t>但这样一个富可敌国的恐怖组织却在绑架勒索的可耻勾当上做得不亦乐乎。首先是</w:t>
      </w:r>
      <w:r>
        <w:rPr>
          <w:rFonts w:ascii="宋体" w:hAnsi="宋体"/>
          <w:szCs w:val="21"/>
        </w:rPr>
        <w:t>打着募捐的名义敲诈勒索控制地的经营者</w:t>
      </w:r>
      <w:r>
        <w:rPr>
          <w:rFonts w:hint="eastAsia" w:ascii="宋体" w:hAnsi="宋体"/>
          <w:szCs w:val="21"/>
        </w:rPr>
        <w:t>，如不出钱支持“大伊斯兰国”的“圣战”，经营者将被以残忍手段就地杀害。其次是沿路</w:t>
      </w:r>
      <w:r>
        <w:rPr>
          <w:rFonts w:ascii="宋体" w:hAnsi="宋体"/>
          <w:szCs w:val="21"/>
        </w:rPr>
        <w:t>设立公路检查站，收取过路费等</w:t>
      </w:r>
      <w:r>
        <w:rPr>
          <w:rFonts w:hint="eastAsia" w:ascii="宋体" w:hAnsi="宋体"/>
          <w:szCs w:val="21"/>
        </w:rPr>
        <w:t>费用（这一行为甚至被ISIS发展到类似于一国之税收的</w:t>
      </w:r>
      <w:r>
        <w:rPr>
          <w:rFonts w:ascii="宋体" w:hAnsi="宋体"/>
          <w:szCs w:val="21"/>
        </w:rPr>
        <w:t>运营模式</w:t>
      </w:r>
      <w:r>
        <w:rPr>
          <w:rFonts w:hint="eastAsia" w:ascii="宋体" w:hAnsi="宋体"/>
          <w:szCs w:val="21"/>
        </w:rPr>
        <w:t>），</w:t>
      </w:r>
      <w:r>
        <w:rPr>
          <w:rFonts w:ascii="宋体" w:hAnsi="宋体"/>
          <w:szCs w:val="21"/>
        </w:rPr>
        <w:t>而这部分的收入也非常</w:t>
      </w:r>
      <w:r>
        <w:rPr>
          <w:rFonts w:hint="eastAsia" w:ascii="宋体" w:hAnsi="宋体"/>
          <w:szCs w:val="21"/>
        </w:rPr>
        <w:t>巨</w:t>
      </w:r>
      <w:r>
        <w:rPr>
          <w:rFonts w:ascii="宋体" w:hAnsi="宋体"/>
          <w:szCs w:val="21"/>
        </w:rPr>
        <w:t>大，一个月可以达到1200万美元之多</w:t>
      </w:r>
      <w:r>
        <w:rPr>
          <w:rFonts w:hint="eastAsia" w:ascii="宋体" w:hAnsi="宋体"/>
          <w:szCs w:val="21"/>
        </w:rPr>
        <w:t>。</w:t>
      </w:r>
      <w:r>
        <w:rPr>
          <w:rStyle w:val="12"/>
          <w:rFonts w:ascii="宋体" w:hAnsi="宋体"/>
          <w:sz w:val="24"/>
        </w:rPr>
        <w:t>[</w:t>
      </w:r>
      <w:r>
        <w:rPr>
          <w:rStyle w:val="12"/>
          <w:rFonts w:ascii="宋体" w:hAnsi="宋体"/>
          <w:sz w:val="24"/>
        </w:rPr>
        <w:footnoteReference w:id="83"/>
      </w:r>
      <w:r>
        <w:rPr>
          <w:rStyle w:val="12"/>
          <w:rFonts w:ascii="宋体" w:hAnsi="宋体"/>
          <w:sz w:val="24"/>
        </w:rPr>
        <w:t>]</w:t>
      </w:r>
      <w:r>
        <w:rPr>
          <w:rFonts w:hint="eastAsia" w:ascii="宋体" w:hAnsi="宋体"/>
          <w:szCs w:val="21"/>
        </w:rPr>
        <w:t>更为过分的是</w:t>
      </w:r>
      <w:r>
        <w:rPr>
          <w:rFonts w:ascii="宋体" w:hAnsi="宋体"/>
          <w:szCs w:val="21"/>
        </w:rPr>
        <w:t>绑架</w:t>
      </w:r>
      <w:r>
        <w:rPr>
          <w:rFonts w:hint="eastAsia" w:ascii="宋体" w:hAnsi="宋体"/>
          <w:szCs w:val="21"/>
        </w:rPr>
        <w:t>各国</w:t>
      </w:r>
      <w:r>
        <w:rPr>
          <w:rFonts w:ascii="宋体" w:hAnsi="宋体"/>
          <w:szCs w:val="21"/>
        </w:rPr>
        <w:t>人质，向人质政府或</w:t>
      </w:r>
      <w:r>
        <w:rPr>
          <w:rFonts w:hint="eastAsia" w:ascii="宋体" w:hAnsi="宋体"/>
          <w:szCs w:val="21"/>
        </w:rPr>
        <w:t>其</w:t>
      </w:r>
      <w:r>
        <w:rPr>
          <w:rFonts w:ascii="宋体" w:hAnsi="宋体"/>
          <w:szCs w:val="21"/>
        </w:rPr>
        <w:t>家人</w:t>
      </w:r>
      <w:r>
        <w:rPr>
          <w:rFonts w:hint="eastAsia" w:ascii="宋体" w:hAnsi="宋体"/>
          <w:szCs w:val="21"/>
        </w:rPr>
        <w:t>索</w:t>
      </w:r>
      <w:r>
        <w:rPr>
          <w:rFonts w:ascii="宋体" w:hAnsi="宋体"/>
          <w:szCs w:val="21"/>
        </w:rPr>
        <w:t>要赎金。这</w:t>
      </w:r>
      <w:r>
        <w:rPr>
          <w:rFonts w:hint="eastAsia" w:ascii="宋体" w:hAnsi="宋体"/>
          <w:szCs w:val="21"/>
        </w:rPr>
        <w:t>一</w:t>
      </w:r>
      <w:r>
        <w:rPr>
          <w:rFonts w:ascii="宋体" w:hAnsi="宋体"/>
          <w:szCs w:val="21"/>
        </w:rPr>
        <w:t>模式历来有之</w:t>
      </w:r>
      <w:r>
        <w:rPr>
          <w:rFonts w:hint="eastAsia" w:ascii="宋体" w:hAnsi="宋体"/>
          <w:szCs w:val="21"/>
        </w:rPr>
        <w:t>，只是</w:t>
      </w:r>
      <w:r>
        <w:rPr>
          <w:rFonts w:ascii="宋体" w:hAnsi="宋体"/>
          <w:szCs w:val="21"/>
        </w:rPr>
        <w:t>ISIS</w:t>
      </w:r>
      <w:r>
        <w:rPr>
          <w:rFonts w:hint="eastAsia" w:ascii="宋体" w:hAnsi="宋体"/>
          <w:szCs w:val="21"/>
        </w:rPr>
        <w:t>有意将</w:t>
      </w:r>
      <w:r>
        <w:rPr>
          <w:rFonts w:ascii="宋体" w:hAnsi="宋体"/>
          <w:szCs w:val="21"/>
        </w:rPr>
        <w:t>这</w:t>
      </w:r>
      <w:r>
        <w:rPr>
          <w:rFonts w:hint="eastAsia" w:ascii="宋体" w:hAnsi="宋体"/>
          <w:szCs w:val="21"/>
        </w:rPr>
        <w:t>种“</w:t>
      </w:r>
      <w:r>
        <w:rPr>
          <w:rFonts w:ascii="宋体" w:hAnsi="宋体"/>
          <w:szCs w:val="21"/>
        </w:rPr>
        <w:t>生意</w:t>
      </w:r>
      <w:r>
        <w:rPr>
          <w:rFonts w:hint="eastAsia" w:ascii="宋体" w:hAnsi="宋体"/>
          <w:szCs w:val="21"/>
        </w:rPr>
        <w:t>”</w:t>
      </w:r>
      <w:r>
        <w:rPr>
          <w:rFonts w:ascii="宋体" w:hAnsi="宋体"/>
          <w:szCs w:val="21"/>
        </w:rPr>
        <w:t>越做越大</w:t>
      </w:r>
      <w:r>
        <w:rPr>
          <w:rFonts w:hint="eastAsia" w:ascii="宋体" w:hAnsi="宋体"/>
          <w:szCs w:val="21"/>
        </w:rPr>
        <w:t>。不仅大量绑架各国人质，向其政府索要高额赎金，还不定期将残杀人质的视频公布到网络上以示威吓。</w:t>
      </w:r>
      <w:r>
        <w:rPr>
          <w:rFonts w:ascii="宋体" w:hAnsi="宋体"/>
          <w:szCs w:val="21"/>
        </w:rPr>
        <w:t>据说法国政府</w:t>
      </w:r>
      <w:r>
        <w:rPr>
          <w:rFonts w:hint="eastAsia" w:ascii="宋体" w:hAnsi="宋体"/>
          <w:szCs w:val="21"/>
        </w:rPr>
        <w:t>就</w:t>
      </w:r>
      <w:r>
        <w:rPr>
          <w:rFonts w:ascii="宋体" w:hAnsi="宋体"/>
          <w:szCs w:val="21"/>
        </w:rPr>
        <w:t>曾经向ISIS支付了1800万美金来解救</w:t>
      </w:r>
      <w:r>
        <w:rPr>
          <w:rFonts w:hint="eastAsia" w:ascii="宋体" w:hAnsi="宋体"/>
          <w:szCs w:val="21"/>
        </w:rPr>
        <w:t>四</w:t>
      </w:r>
      <w:r>
        <w:rPr>
          <w:rFonts w:ascii="宋体" w:hAnsi="宋体"/>
          <w:szCs w:val="21"/>
        </w:rPr>
        <w:t>个本国</w:t>
      </w:r>
      <w:r>
        <w:rPr>
          <w:rFonts w:hint="eastAsia" w:ascii="宋体" w:hAnsi="宋体"/>
          <w:szCs w:val="21"/>
        </w:rPr>
        <w:t>公</w:t>
      </w:r>
      <w:r>
        <w:rPr>
          <w:rFonts w:ascii="宋体" w:hAnsi="宋体"/>
          <w:szCs w:val="21"/>
        </w:rPr>
        <w:t>民。德国等</w:t>
      </w:r>
      <w:r>
        <w:rPr>
          <w:rFonts w:hint="eastAsia" w:ascii="宋体" w:hAnsi="宋体"/>
          <w:szCs w:val="21"/>
        </w:rPr>
        <w:t>国</w:t>
      </w:r>
      <w:r>
        <w:rPr>
          <w:rFonts w:ascii="宋体" w:hAnsi="宋体"/>
          <w:szCs w:val="21"/>
        </w:rPr>
        <w:t>政府也都先后支付了巨额赎金来解救本国被绑架</w:t>
      </w:r>
      <w:r>
        <w:rPr>
          <w:rFonts w:hint="eastAsia" w:ascii="宋体" w:hAnsi="宋体"/>
          <w:szCs w:val="21"/>
        </w:rPr>
        <w:t>公</w:t>
      </w:r>
      <w:r>
        <w:rPr>
          <w:rFonts w:ascii="宋体" w:hAnsi="宋体"/>
          <w:szCs w:val="21"/>
        </w:rPr>
        <w:t>民。</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ascii="宋体" w:hAnsi="宋体"/>
          <w:szCs w:val="21"/>
        </w:rPr>
      </w:pPr>
      <w:r>
        <w:rPr>
          <w:rFonts w:hint="eastAsia" w:ascii="宋体" w:hAnsi="宋体"/>
          <w:szCs w:val="21"/>
        </w:rPr>
        <w:t>第五大渠道就是通过售卖古董获利。ISIS在扩张、占领的途中，所到之处必将掠夺和侵占的古董、艺术品、收藏品等洗白、出售，有时甚至是</w:t>
      </w:r>
      <w:r>
        <w:rPr>
          <w:rFonts w:ascii="宋体" w:hAnsi="宋体"/>
          <w:szCs w:val="21"/>
        </w:rPr>
        <w:t>公开拍卖。</w:t>
      </w:r>
      <w:r>
        <w:rPr>
          <w:rFonts w:hint="eastAsia" w:ascii="宋体" w:hAnsi="宋体"/>
          <w:szCs w:val="21"/>
        </w:rPr>
        <w:t>中东的各大</w:t>
      </w:r>
      <w:r>
        <w:rPr>
          <w:rFonts w:ascii="宋体" w:hAnsi="宋体"/>
          <w:szCs w:val="21"/>
        </w:rPr>
        <w:t>文明古国本来</w:t>
      </w:r>
      <w:r>
        <w:rPr>
          <w:rFonts w:hint="eastAsia" w:ascii="宋体" w:hAnsi="宋体"/>
          <w:szCs w:val="21"/>
        </w:rPr>
        <w:t>文物资源就颇为丰富，</w:t>
      </w:r>
      <w:r>
        <w:rPr>
          <w:rFonts w:ascii="宋体" w:hAnsi="宋体"/>
          <w:szCs w:val="21"/>
        </w:rPr>
        <w:t>据说</w:t>
      </w:r>
      <w:r>
        <w:rPr>
          <w:rFonts w:hint="eastAsia" w:ascii="宋体" w:hAnsi="宋体"/>
          <w:szCs w:val="21"/>
        </w:rPr>
        <w:t>仅在</w:t>
      </w:r>
      <w:r>
        <w:rPr>
          <w:rFonts w:ascii="宋体" w:hAnsi="宋体"/>
          <w:szCs w:val="21"/>
        </w:rPr>
        <w:t>一次抢劫</w:t>
      </w:r>
      <w:r>
        <w:rPr>
          <w:rFonts w:hint="eastAsia" w:ascii="宋体" w:hAnsi="宋体"/>
          <w:szCs w:val="21"/>
        </w:rPr>
        <w:t>中ISIS</w:t>
      </w:r>
      <w:r>
        <w:rPr>
          <w:rFonts w:ascii="宋体" w:hAnsi="宋体"/>
          <w:szCs w:val="21"/>
        </w:rPr>
        <w:t>就收获了价值3600万美元的工艺品。</w:t>
      </w:r>
      <w:r>
        <w:rPr>
          <w:rStyle w:val="12"/>
          <w:rFonts w:ascii="宋体" w:hAnsi="宋体"/>
          <w:sz w:val="24"/>
        </w:rPr>
        <w:t>[</w:t>
      </w:r>
      <w:r>
        <w:rPr>
          <w:rStyle w:val="12"/>
          <w:rFonts w:ascii="宋体" w:hAnsi="宋体"/>
          <w:sz w:val="24"/>
        </w:rPr>
        <w:footnoteReference w:id="84"/>
      </w:r>
      <w:r>
        <w:rPr>
          <w:rStyle w:val="12"/>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资源丰富、资金充足，下一步自然就是野心的无限膨胀。ISIS面向全球不断募集新成员、扩张军队、招募</w:t>
      </w:r>
      <w:r>
        <w:rPr>
          <w:rFonts w:ascii="宋体" w:hAnsi="宋体"/>
          <w:szCs w:val="21"/>
        </w:rPr>
        <w:t>雇佣兵。</w:t>
      </w:r>
      <w:r>
        <w:rPr>
          <w:rFonts w:hint="eastAsia" w:ascii="宋体" w:hAnsi="宋体"/>
          <w:szCs w:val="21"/>
        </w:rPr>
        <w:t>与以往的恐怖组织相比，</w:t>
      </w:r>
      <w:r>
        <w:rPr>
          <w:rFonts w:ascii="宋体" w:hAnsi="宋体"/>
          <w:szCs w:val="21"/>
        </w:rPr>
        <w:t>ISIS</w:t>
      </w:r>
      <w:r>
        <w:rPr>
          <w:rFonts w:hint="eastAsia" w:ascii="宋体" w:hAnsi="宋体"/>
          <w:szCs w:val="21"/>
        </w:rPr>
        <w:t>有一个重大突破，即大肆利用T</w:t>
      </w:r>
      <w:r>
        <w:rPr>
          <w:rFonts w:ascii="宋体" w:hAnsi="宋体"/>
          <w:szCs w:val="21"/>
        </w:rPr>
        <w:t>witter等互联网社交工具</w:t>
      </w:r>
      <w:r>
        <w:rPr>
          <w:rFonts w:hint="eastAsia" w:ascii="宋体" w:hAnsi="宋体"/>
          <w:szCs w:val="21"/>
        </w:rPr>
        <w:t>在全世界范围内</w:t>
      </w:r>
      <w:r>
        <w:rPr>
          <w:rFonts w:ascii="宋体" w:hAnsi="宋体"/>
          <w:szCs w:val="21"/>
        </w:rPr>
        <w:t>进行</w:t>
      </w:r>
      <w:r>
        <w:rPr>
          <w:rFonts w:hint="eastAsia" w:ascii="宋体" w:hAnsi="宋体"/>
          <w:szCs w:val="21"/>
        </w:rPr>
        <w:t>所谓“</w:t>
      </w:r>
      <w:r>
        <w:rPr>
          <w:rFonts w:ascii="宋体" w:hAnsi="宋体"/>
          <w:szCs w:val="21"/>
        </w:rPr>
        <w:t>信仰</w:t>
      </w:r>
      <w:r>
        <w:rPr>
          <w:rFonts w:hint="eastAsia" w:ascii="宋体" w:hAnsi="宋体"/>
          <w:szCs w:val="21"/>
        </w:rPr>
        <w:t>”的</w:t>
      </w:r>
      <w:r>
        <w:rPr>
          <w:rFonts w:ascii="宋体" w:hAnsi="宋体"/>
          <w:szCs w:val="21"/>
        </w:rPr>
        <w:t>洗脑传播和</w:t>
      </w:r>
      <w:r>
        <w:rPr>
          <w:rFonts w:hint="eastAsia" w:ascii="宋体" w:hAnsi="宋体"/>
          <w:szCs w:val="21"/>
        </w:rPr>
        <w:t>新丁</w:t>
      </w:r>
      <w:r>
        <w:rPr>
          <w:rFonts w:ascii="宋体" w:hAnsi="宋体"/>
          <w:szCs w:val="21"/>
        </w:rPr>
        <w:t>招募。</w:t>
      </w:r>
      <w:r>
        <w:rPr>
          <w:rFonts w:hint="eastAsia" w:ascii="宋体" w:hAnsi="宋体"/>
          <w:szCs w:val="21"/>
        </w:rPr>
        <w:t>不仅大量穆斯林受其蛊惑，</w:t>
      </w:r>
      <w:r>
        <w:rPr>
          <w:rFonts w:ascii="宋体" w:hAnsi="宋体"/>
          <w:szCs w:val="21"/>
        </w:rPr>
        <w:t>甚至西方一些</w:t>
      </w:r>
      <w:r>
        <w:rPr>
          <w:rFonts w:hint="eastAsia" w:ascii="宋体" w:hAnsi="宋体"/>
          <w:szCs w:val="21"/>
        </w:rPr>
        <w:t>尚未</w:t>
      </w:r>
      <w:r>
        <w:rPr>
          <w:rFonts w:ascii="宋体" w:hAnsi="宋体"/>
          <w:szCs w:val="21"/>
        </w:rPr>
        <w:t>形成正确世界观的异族年轻人</w:t>
      </w:r>
      <w:r>
        <w:rPr>
          <w:rFonts w:hint="eastAsia" w:ascii="宋体" w:hAnsi="宋体"/>
          <w:szCs w:val="21"/>
        </w:rPr>
        <w:t>也</w:t>
      </w:r>
      <w:r>
        <w:rPr>
          <w:rFonts w:ascii="宋体" w:hAnsi="宋体"/>
          <w:szCs w:val="21"/>
        </w:rPr>
        <w:t>会</w:t>
      </w:r>
      <w:r>
        <w:rPr>
          <w:rFonts w:hint="eastAsia" w:ascii="宋体" w:hAnsi="宋体"/>
          <w:szCs w:val="21"/>
        </w:rPr>
        <w:t>对这样一种“热血生活”心生向往，满怀自豪地做着成为一名“圣战”斗士的英雄梦</w:t>
      </w:r>
      <w:r>
        <w:rPr>
          <w:rFonts w:ascii="宋体" w:hAnsi="宋体"/>
          <w:szCs w:val="21"/>
        </w:rPr>
        <w:t>。</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武器有了，资金有了，人员也不断扩充，ISIS在各种优势条件下，乘着叙利亚内乱的风一路扶摇直上，以崛起之势攥取了国际社会的眼球。</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val="0"/>
        <w:snapToGrid w:val="0"/>
        <w:spacing w:before="157" w:beforeLines="50" w:line="288" w:lineRule="auto"/>
        <w:ind w:left="0" w:leftChars="0" w:right="0" w:rightChars="0" w:firstLine="0" w:firstLineChars="0"/>
        <w:jc w:val="center"/>
        <w:textAlignment w:val="auto"/>
        <w:outlineLvl w:val="9"/>
        <w:rPr>
          <w:rFonts w:hint="eastAsia" w:ascii="宋体" w:hAnsi="宋体"/>
          <w:szCs w:val="21"/>
        </w:rPr>
      </w:pPr>
      <w:r>
        <w:rPr>
          <w:rFonts w:hint="eastAsia" w:ascii="黑体" w:hAnsi="黑体" w:eastAsia="黑体" w:cs="黑体"/>
          <w:b/>
          <w:sz w:val="28"/>
          <w:szCs w:val="28"/>
        </w:rPr>
        <w:t>三、ISIS建立后的违法犯罪活动</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从ISIS的角度出发，一切有利因素似乎都来得非常容易。因此打着“复兴伊斯兰”旗号的ISIS更加坚信自身所为乃英勇的正义之举。势头正猛的ISIS不断向前推进其“战胜异教徒，战胜美国人和他们的同盟”以及“复兴伊斯兰，建立‘哈里发帝国’”等政治愿景的实现。</w:t>
      </w:r>
      <w:r>
        <w:rPr>
          <w:rStyle w:val="12"/>
          <w:rFonts w:ascii="宋体" w:hAnsi="宋体"/>
          <w:sz w:val="24"/>
        </w:rPr>
        <w:t>[</w:t>
      </w:r>
      <w:r>
        <w:rPr>
          <w:rStyle w:val="12"/>
          <w:rFonts w:ascii="宋体" w:hAnsi="宋体"/>
          <w:sz w:val="24"/>
        </w:rPr>
        <w:footnoteReference w:id="85"/>
      </w:r>
      <w:r>
        <w:rPr>
          <w:rStyle w:val="12"/>
          <w:rFonts w:ascii="宋体" w:hAnsi="宋体"/>
          <w:sz w:val="24"/>
        </w:rPr>
        <w:t>]</w:t>
      </w:r>
      <w:r>
        <w:rPr>
          <w:rFonts w:hint="eastAsia" w:ascii="宋体" w:hAnsi="宋体"/>
          <w:szCs w:val="21"/>
        </w:rPr>
        <w:t>尽管ISIS的出现是受宗教、政治、文化、社会等多重原因的催化，但将自身诉求与极端宗教思想相互裹挟，通过极端化、狂热化、政治化、诡秘化的方式呈现出来却是最为偏激、愚昧的方法。如此一来，国际社会皆为其危害性而深感忧虑，忙于抑制其扩散和消灭其带来的恐慌等负面影响，必然无暇深究其诉求以及作乱的根本原因，反倒对其令人发指的罪恶行径深恶痛绝。</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jc w:val="both"/>
        <w:textAlignment w:val="auto"/>
        <w:outlineLvl w:val="9"/>
        <w:rPr>
          <w:rFonts w:hint="eastAsia" w:ascii="宋体" w:hAnsi="宋体"/>
          <w:b/>
          <w:sz w:val="24"/>
        </w:rPr>
      </w:pPr>
      <w:r>
        <w:rPr>
          <w:rFonts w:hint="eastAsia" w:ascii="宋体" w:hAnsi="宋体"/>
          <w:b/>
          <w:sz w:val="24"/>
        </w:rPr>
        <w:t>（一）对妇女执行强制割礼</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ascii="宋体" w:hAnsi="宋体"/>
          <w:szCs w:val="21"/>
        </w:rPr>
      </w:pPr>
      <w:r>
        <w:rPr>
          <w:rFonts w:ascii="宋体" w:hAnsi="宋体"/>
          <w:szCs w:val="21"/>
        </w:rPr>
        <w:t>IS下令</w:t>
      </w:r>
      <w:r>
        <w:rPr>
          <w:rFonts w:hint="eastAsia" w:ascii="宋体" w:hAnsi="宋体"/>
          <w:szCs w:val="21"/>
        </w:rPr>
        <w:t>其管制下的</w:t>
      </w:r>
      <w:r>
        <w:rPr>
          <w:rFonts w:ascii="宋体" w:hAnsi="宋体"/>
          <w:szCs w:val="21"/>
        </w:rPr>
        <w:t>伊拉克北部城市摩苏尔的所有妇女</w:t>
      </w:r>
      <w:r>
        <w:rPr>
          <w:rFonts w:hint="eastAsia" w:ascii="宋体" w:hAnsi="宋体"/>
          <w:szCs w:val="21"/>
        </w:rPr>
        <w:t>必须</w:t>
      </w:r>
      <w:r>
        <w:rPr>
          <w:rFonts w:ascii="宋体" w:hAnsi="宋体"/>
          <w:szCs w:val="21"/>
        </w:rPr>
        <w:t>接受</w:t>
      </w:r>
      <w:r>
        <w:rPr>
          <w:rFonts w:hint="eastAsia" w:ascii="宋体" w:hAnsi="宋体"/>
          <w:szCs w:val="21"/>
        </w:rPr>
        <w:t>所谓的“</w:t>
      </w:r>
      <w:r>
        <w:rPr>
          <w:rFonts w:ascii="宋体" w:hAnsi="宋体"/>
          <w:szCs w:val="21"/>
        </w:rPr>
        <w:fldChar w:fldCharType="begin"/>
      </w:r>
      <w:r>
        <w:rPr>
          <w:rFonts w:ascii="宋体" w:hAnsi="宋体"/>
          <w:szCs w:val="21"/>
        </w:rPr>
        <w:instrText xml:space="preserve"> HYPERLINK "http://baike.baidu.com/view/54895.htm" \t "_blank" </w:instrText>
      </w:r>
      <w:r>
        <w:rPr>
          <w:rFonts w:ascii="宋体" w:hAnsi="宋体"/>
          <w:szCs w:val="21"/>
        </w:rPr>
        <w:fldChar w:fldCharType="separate"/>
      </w:r>
      <w:r>
        <w:rPr>
          <w:rFonts w:ascii="宋体" w:hAnsi="宋体"/>
          <w:szCs w:val="21"/>
        </w:rPr>
        <w:t>阴蒂</w:t>
      </w:r>
      <w:r>
        <w:rPr>
          <w:rFonts w:ascii="宋体" w:hAnsi="宋体"/>
          <w:szCs w:val="21"/>
        </w:rPr>
        <w:fldChar w:fldCharType="end"/>
      </w:r>
      <w:r>
        <w:rPr>
          <w:rFonts w:ascii="宋体" w:hAnsi="宋体"/>
          <w:szCs w:val="21"/>
        </w:rPr>
        <w:t>割礼</w:t>
      </w:r>
      <w:r>
        <w:rPr>
          <w:rFonts w:hint="eastAsia" w:ascii="宋体" w:hAnsi="宋体"/>
          <w:szCs w:val="21"/>
        </w:rPr>
        <w:t>”</w:t>
      </w:r>
      <w:r>
        <w:rPr>
          <w:rFonts w:ascii="宋体" w:hAnsi="宋体"/>
          <w:szCs w:val="21"/>
        </w:rPr>
        <w:t>，</w:t>
      </w:r>
      <w:r>
        <w:rPr>
          <w:rFonts w:hint="eastAsia" w:ascii="宋体" w:hAnsi="宋体"/>
          <w:szCs w:val="21"/>
        </w:rPr>
        <w:t>即通过</w:t>
      </w:r>
      <w:r>
        <w:rPr>
          <w:rFonts w:ascii="宋体" w:hAnsi="宋体"/>
          <w:szCs w:val="21"/>
        </w:rPr>
        <w:t>把女性的外生殖器突出的部分全部切除</w:t>
      </w:r>
      <w:r>
        <w:rPr>
          <w:rFonts w:hint="eastAsia" w:ascii="宋体" w:hAnsi="宋体"/>
          <w:szCs w:val="21"/>
        </w:rPr>
        <w:t>来使其面临巨大</w:t>
      </w:r>
      <w:r>
        <w:rPr>
          <w:rFonts w:ascii="宋体" w:hAnsi="宋体"/>
          <w:szCs w:val="21"/>
        </w:rPr>
        <w:t>痛苦</w:t>
      </w:r>
      <w:r>
        <w:rPr>
          <w:rFonts w:hint="eastAsia" w:ascii="宋体" w:hAnsi="宋体"/>
          <w:szCs w:val="21"/>
        </w:rPr>
        <w:t>，从而</w:t>
      </w:r>
      <w:r>
        <w:rPr>
          <w:rFonts w:ascii="宋体" w:hAnsi="宋体"/>
          <w:szCs w:val="21"/>
        </w:rPr>
        <w:t>对性交</w:t>
      </w:r>
      <w:r>
        <w:rPr>
          <w:rFonts w:hint="eastAsia" w:ascii="宋体" w:hAnsi="宋体"/>
          <w:szCs w:val="21"/>
        </w:rPr>
        <w:t>产生</w:t>
      </w:r>
      <w:r>
        <w:rPr>
          <w:rFonts w:ascii="宋体" w:hAnsi="宋体"/>
          <w:szCs w:val="21"/>
        </w:rPr>
        <w:t>恐惧心理</w:t>
      </w:r>
      <w:r>
        <w:rPr>
          <w:rFonts w:hint="eastAsia" w:ascii="宋体" w:hAnsi="宋体"/>
          <w:szCs w:val="21"/>
        </w:rPr>
        <w:t>，以此</w:t>
      </w:r>
      <w:r>
        <w:rPr>
          <w:rFonts w:ascii="宋体" w:hAnsi="宋体"/>
          <w:szCs w:val="21"/>
        </w:rPr>
        <w:t>禁锢女性思想</w:t>
      </w:r>
      <w:r>
        <w:rPr>
          <w:rFonts w:hint="eastAsia" w:ascii="宋体" w:hAnsi="宋体"/>
          <w:szCs w:val="21"/>
        </w:rPr>
        <w:t>并使其</w:t>
      </w:r>
      <w:r>
        <w:rPr>
          <w:rFonts w:ascii="宋体" w:hAnsi="宋体"/>
          <w:szCs w:val="21"/>
        </w:rPr>
        <w:t>忠于自己的丈夫。</w:t>
      </w:r>
      <w:r>
        <w:rPr>
          <w:rFonts w:hint="eastAsia" w:ascii="宋体" w:hAnsi="宋体"/>
          <w:szCs w:val="21"/>
        </w:rPr>
        <w:t>拒绝</w:t>
      </w:r>
      <w:r>
        <w:rPr>
          <w:rFonts w:ascii="宋体" w:hAnsi="宋体"/>
          <w:szCs w:val="21"/>
        </w:rPr>
        <w:t>割礼的女性</w:t>
      </w:r>
      <w:r>
        <w:rPr>
          <w:rFonts w:hint="eastAsia" w:ascii="宋体" w:hAnsi="宋体"/>
          <w:szCs w:val="21"/>
        </w:rPr>
        <w:t>将</w:t>
      </w:r>
      <w:r>
        <w:rPr>
          <w:rFonts w:ascii="宋体" w:hAnsi="宋体"/>
          <w:szCs w:val="21"/>
        </w:rPr>
        <w:t>面对严厉惩罚</w:t>
      </w:r>
      <w:r>
        <w:rPr>
          <w:rFonts w:hint="eastAsia" w:ascii="宋体" w:hAnsi="宋体"/>
          <w:szCs w:val="21"/>
        </w:rPr>
        <w:t>。此举约使多</w:t>
      </w:r>
      <w:r>
        <w:rPr>
          <w:rFonts w:ascii="宋体" w:hAnsi="宋体"/>
          <w:szCs w:val="21"/>
        </w:rPr>
        <w:t>达四百万名年龄十一岁至四十六岁的女性受影响</w:t>
      </w:r>
      <w:r>
        <w:rPr>
          <w:rFonts w:hint="eastAsia" w:ascii="宋体" w:hAnsi="宋体"/>
          <w:szCs w:val="21"/>
        </w:rPr>
        <w:t>，</w:t>
      </w:r>
      <w:r>
        <w:rPr>
          <w:rFonts w:ascii="宋体" w:hAnsi="宋体"/>
          <w:szCs w:val="21"/>
        </w:rPr>
        <w:t>大批少女无处可逃。部分非洲、中东及亚洲</w:t>
      </w:r>
      <w:r>
        <w:rPr>
          <w:rFonts w:hint="eastAsia" w:ascii="宋体" w:hAnsi="宋体"/>
          <w:szCs w:val="21"/>
        </w:rPr>
        <w:t>地</w:t>
      </w:r>
      <w:r>
        <w:rPr>
          <w:rFonts w:ascii="宋体" w:hAnsi="宋体"/>
          <w:szCs w:val="21"/>
        </w:rPr>
        <w:t>区仍然</w:t>
      </w:r>
      <w:r>
        <w:rPr>
          <w:rFonts w:hint="eastAsia" w:ascii="宋体" w:hAnsi="宋体"/>
          <w:szCs w:val="21"/>
        </w:rPr>
        <w:t>将</w:t>
      </w:r>
      <w:r>
        <w:rPr>
          <w:rFonts w:ascii="宋体" w:hAnsi="宋体"/>
          <w:szCs w:val="21"/>
        </w:rPr>
        <w:t>执行割礼作为成人及婚礼的仪式，但</w:t>
      </w:r>
      <w:r>
        <w:rPr>
          <w:rFonts w:hint="eastAsia" w:ascii="宋体" w:hAnsi="宋体"/>
          <w:szCs w:val="21"/>
        </w:rPr>
        <w:t>这种荒诞残忍的行径早就经</w:t>
      </w:r>
      <w:r>
        <w:rPr>
          <w:rFonts w:ascii="宋体" w:hAnsi="宋体"/>
          <w:szCs w:val="21"/>
        </w:rPr>
        <w:fldChar w:fldCharType="begin"/>
      </w:r>
      <w:r>
        <w:rPr>
          <w:rFonts w:ascii="宋体" w:hAnsi="宋体"/>
          <w:szCs w:val="21"/>
        </w:rPr>
        <w:instrText xml:space="preserve"> HYPERLINK "http://baike.baidu.com/subview/3015/19193580.htm" \t "_blank" </w:instrText>
      </w:r>
      <w:r>
        <w:rPr>
          <w:rFonts w:ascii="宋体" w:hAnsi="宋体"/>
          <w:szCs w:val="21"/>
        </w:rPr>
        <w:fldChar w:fldCharType="separate"/>
      </w:r>
      <w:r>
        <w:rPr>
          <w:rFonts w:ascii="宋体" w:hAnsi="宋体"/>
          <w:szCs w:val="21"/>
        </w:rPr>
        <w:t>联合国</w:t>
      </w:r>
      <w:r>
        <w:rPr>
          <w:rFonts w:ascii="宋体" w:hAnsi="宋体"/>
          <w:szCs w:val="21"/>
        </w:rPr>
        <w:fldChar w:fldCharType="end"/>
      </w:r>
      <w:r>
        <w:rPr>
          <w:rFonts w:ascii="宋体" w:hAnsi="宋体"/>
          <w:szCs w:val="21"/>
        </w:rPr>
        <w:t>在</w:t>
      </w:r>
      <w:r>
        <w:rPr>
          <w:rFonts w:ascii="宋体" w:hAnsi="宋体"/>
          <w:szCs w:val="21"/>
        </w:rPr>
        <w:fldChar w:fldCharType="begin"/>
      </w:r>
      <w:r>
        <w:rPr>
          <w:rFonts w:ascii="宋体" w:hAnsi="宋体"/>
          <w:szCs w:val="21"/>
        </w:rPr>
        <w:instrText xml:space="preserve"> HYPERLINK "http://baike.baidu.com/subview/728475/5240721.htm" \t "_blank" </w:instrText>
      </w:r>
      <w:r>
        <w:rPr>
          <w:rFonts w:ascii="宋体" w:hAnsi="宋体"/>
          <w:szCs w:val="21"/>
        </w:rPr>
        <w:fldChar w:fldCharType="separate"/>
      </w:r>
      <w:r>
        <w:rPr>
          <w:rFonts w:ascii="宋体" w:hAnsi="宋体"/>
          <w:szCs w:val="21"/>
        </w:rPr>
        <w:t>2012</w:t>
      </w:r>
      <w:r>
        <w:rPr>
          <w:rFonts w:ascii="宋体" w:hAnsi="宋体"/>
          <w:szCs w:val="21"/>
        </w:rPr>
        <w:fldChar w:fldCharType="end"/>
      </w:r>
      <w:r>
        <w:rPr>
          <w:rFonts w:ascii="宋体" w:hAnsi="宋体"/>
          <w:szCs w:val="21"/>
        </w:rPr>
        <w:t>年通过决议要求所有成员国废除</w:t>
      </w:r>
      <w:r>
        <w:rPr>
          <w:rFonts w:hint="eastAsia" w:ascii="宋体" w:hAnsi="宋体"/>
          <w:szCs w:val="21"/>
        </w:rPr>
        <w:t>了</w:t>
      </w:r>
      <w:r>
        <w:rPr>
          <w:rFonts w:ascii="宋体" w:hAnsi="宋体"/>
          <w:szCs w:val="21"/>
        </w:rPr>
        <w:t>。</w:t>
      </w:r>
      <w:r>
        <w:rPr>
          <w:rStyle w:val="12"/>
          <w:rFonts w:ascii="宋体" w:hAnsi="宋体"/>
          <w:sz w:val="24"/>
        </w:rPr>
        <w:t>[</w:t>
      </w:r>
      <w:r>
        <w:rPr>
          <w:rStyle w:val="12"/>
          <w:rFonts w:ascii="宋体" w:hAnsi="宋体"/>
          <w:sz w:val="24"/>
        </w:rPr>
        <w:footnoteReference w:id="86"/>
      </w:r>
      <w:r>
        <w:rPr>
          <w:rStyle w:val="12"/>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jc w:val="both"/>
        <w:textAlignment w:val="auto"/>
        <w:outlineLvl w:val="9"/>
        <w:rPr>
          <w:rFonts w:hint="eastAsia" w:ascii="宋体" w:hAnsi="宋体"/>
          <w:b/>
          <w:sz w:val="24"/>
        </w:rPr>
      </w:pPr>
      <w:r>
        <w:rPr>
          <w:rFonts w:hint="eastAsia" w:ascii="宋体" w:hAnsi="宋体"/>
          <w:b/>
          <w:sz w:val="24"/>
        </w:rPr>
        <w:t>（二）强征妇女作为性奴</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ascii="宋体" w:hAnsi="宋体"/>
          <w:szCs w:val="21"/>
        </w:rPr>
      </w:pPr>
      <w:r>
        <w:rPr>
          <w:rFonts w:ascii="宋体" w:hAnsi="宋体"/>
          <w:szCs w:val="21"/>
        </w:rPr>
        <w:t>IS</w:t>
      </w:r>
      <w:r>
        <w:rPr>
          <w:rFonts w:hint="eastAsia" w:ascii="宋体" w:hAnsi="宋体"/>
          <w:szCs w:val="21"/>
        </w:rPr>
        <w:t>IS</w:t>
      </w:r>
      <w:r>
        <w:rPr>
          <w:rFonts w:ascii="宋体" w:hAnsi="宋体"/>
          <w:szCs w:val="21"/>
        </w:rPr>
        <w:t>武装分子</w:t>
      </w:r>
      <w:r>
        <w:rPr>
          <w:rFonts w:hint="eastAsia" w:ascii="宋体" w:hAnsi="宋体"/>
          <w:szCs w:val="21"/>
        </w:rPr>
        <w:t>对</w:t>
      </w:r>
      <w:r>
        <w:rPr>
          <w:rFonts w:ascii="宋体" w:hAnsi="宋体"/>
          <w:szCs w:val="21"/>
        </w:rPr>
        <w:t>伊拉克北部的雅兹迪族人赶尽杀绝</w:t>
      </w:r>
      <w:r>
        <w:rPr>
          <w:rFonts w:hint="eastAsia" w:ascii="宋体" w:hAnsi="宋体"/>
          <w:szCs w:val="21"/>
        </w:rPr>
        <w:t>，并将</w:t>
      </w:r>
      <w:r>
        <w:rPr>
          <w:rFonts w:ascii="宋体" w:hAnsi="宋体"/>
          <w:szCs w:val="21"/>
        </w:rPr>
        <w:t>大批女性掳走</w:t>
      </w:r>
      <w:r>
        <w:rPr>
          <w:rFonts w:hint="eastAsia" w:ascii="宋体" w:hAnsi="宋体"/>
          <w:szCs w:val="21"/>
        </w:rPr>
        <w:t>做</w:t>
      </w:r>
      <w:r>
        <w:rPr>
          <w:rFonts w:ascii="宋体" w:hAnsi="宋体"/>
          <w:szCs w:val="21"/>
        </w:rPr>
        <w:t>性奴。</w:t>
      </w:r>
      <w:r>
        <w:rPr>
          <w:rStyle w:val="12"/>
          <w:rFonts w:ascii="宋体" w:hAnsi="宋体"/>
          <w:sz w:val="24"/>
        </w:rPr>
        <w:t>[</w:t>
      </w:r>
      <w:r>
        <w:rPr>
          <w:rStyle w:val="12"/>
          <w:rFonts w:ascii="宋体" w:hAnsi="宋体"/>
          <w:sz w:val="24"/>
        </w:rPr>
        <w:footnoteReference w:id="87"/>
      </w:r>
      <w:r>
        <w:rPr>
          <w:rStyle w:val="12"/>
          <w:rFonts w:ascii="宋体" w:hAnsi="宋体"/>
          <w:sz w:val="24"/>
        </w:rPr>
        <w:t>]</w:t>
      </w:r>
      <w:r>
        <w:rPr>
          <w:rFonts w:hint="eastAsia" w:ascii="宋体" w:hAnsi="宋体"/>
          <w:szCs w:val="21"/>
        </w:rPr>
        <w:t>一名</w:t>
      </w:r>
      <w:r>
        <w:rPr>
          <w:rFonts w:ascii="宋体" w:hAnsi="宋体"/>
          <w:szCs w:val="21"/>
        </w:rPr>
        <w:t>被掳的17岁少女尼斯兰，冒险致电传媒说出她们的惨状。</w:t>
      </w:r>
      <w:r>
        <w:rPr>
          <w:rFonts w:hint="eastAsia" w:ascii="宋体" w:hAnsi="宋体"/>
          <w:szCs w:val="21"/>
        </w:rPr>
        <w:t>而</w:t>
      </w:r>
      <w:r>
        <w:rPr>
          <w:rFonts w:ascii="宋体" w:hAnsi="宋体"/>
          <w:szCs w:val="21"/>
        </w:rPr>
        <w:t>另一</w:t>
      </w:r>
      <w:r>
        <w:rPr>
          <w:rFonts w:hint="eastAsia" w:ascii="宋体" w:hAnsi="宋体"/>
          <w:szCs w:val="21"/>
        </w:rPr>
        <w:t>位</w:t>
      </w:r>
      <w:r>
        <w:rPr>
          <w:rFonts w:ascii="宋体" w:hAnsi="宋体"/>
          <w:szCs w:val="21"/>
        </w:rPr>
        <w:t>已婚少女怀孕8个月仍</w:t>
      </w:r>
      <w:r>
        <w:rPr>
          <w:rFonts w:hint="eastAsia" w:ascii="宋体" w:hAnsi="宋体"/>
          <w:szCs w:val="21"/>
        </w:rPr>
        <w:t>然</w:t>
      </w:r>
      <w:r>
        <w:rPr>
          <w:rFonts w:ascii="宋体" w:hAnsi="宋体"/>
          <w:szCs w:val="21"/>
        </w:rPr>
        <w:t>被掳走，面对残暴的武装分子，她称</w:t>
      </w:r>
      <w:r>
        <w:rPr>
          <w:rFonts w:hint="eastAsia" w:ascii="宋体" w:hAnsi="宋体"/>
          <w:szCs w:val="21"/>
        </w:rPr>
        <w:t>自己</w:t>
      </w:r>
      <w:r>
        <w:rPr>
          <w:rFonts w:ascii="宋体" w:hAnsi="宋体"/>
          <w:szCs w:val="21"/>
        </w:rPr>
        <w:t>宁愿美国的炮弹炸中她的囚室，将她们炸死，也不愿</w:t>
      </w:r>
      <w:r>
        <w:rPr>
          <w:rFonts w:hint="eastAsia" w:ascii="宋体" w:hAnsi="宋体"/>
          <w:szCs w:val="21"/>
        </w:rPr>
        <w:t>意</w:t>
      </w:r>
      <w:r>
        <w:rPr>
          <w:rFonts w:ascii="宋体" w:hAnsi="宋体"/>
          <w:szCs w:val="21"/>
        </w:rPr>
        <w:t>被陌生男子强奸。</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jc w:val="both"/>
        <w:textAlignment w:val="auto"/>
        <w:outlineLvl w:val="9"/>
        <w:rPr>
          <w:rFonts w:hint="eastAsia" w:ascii="宋体" w:hAnsi="宋体"/>
          <w:b/>
          <w:sz w:val="24"/>
        </w:rPr>
      </w:pPr>
      <w:r>
        <w:rPr>
          <w:rFonts w:hint="eastAsia" w:ascii="宋体" w:hAnsi="宋体"/>
          <w:b/>
          <w:sz w:val="24"/>
        </w:rPr>
        <w:t>（三）开设奴隶市场</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ascii="宋体" w:hAnsi="宋体"/>
          <w:szCs w:val="21"/>
        </w:rPr>
        <w:t>2014年10月6日，</w:t>
      </w:r>
      <w:r>
        <w:rPr>
          <w:rFonts w:hint="eastAsia" w:ascii="宋体" w:hAnsi="宋体"/>
          <w:szCs w:val="21"/>
        </w:rPr>
        <w:t>ISIS</w:t>
      </w:r>
      <w:r>
        <w:rPr>
          <w:rFonts w:ascii="宋体" w:hAnsi="宋体"/>
          <w:szCs w:val="21"/>
        </w:rPr>
        <w:t>设立了奴隶市场，用作贩卖</w:t>
      </w:r>
      <w:r>
        <w:rPr>
          <w:rFonts w:ascii="宋体" w:hAnsi="宋体"/>
          <w:szCs w:val="21"/>
        </w:rPr>
        <w:fldChar w:fldCharType="begin"/>
      </w:r>
      <w:r>
        <w:rPr>
          <w:rFonts w:ascii="宋体" w:hAnsi="宋体"/>
          <w:szCs w:val="21"/>
        </w:rPr>
        <w:instrText xml:space="preserve"> HYPERLINK "http://baike.baidu.com/view/889381.htm" \t "_blank" </w:instrText>
      </w:r>
      <w:r>
        <w:rPr>
          <w:rFonts w:ascii="宋体" w:hAnsi="宋体"/>
          <w:szCs w:val="21"/>
        </w:rPr>
        <w:fldChar w:fldCharType="separate"/>
      </w:r>
      <w:r>
        <w:rPr>
          <w:rFonts w:ascii="宋体" w:hAnsi="宋体"/>
          <w:szCs w:val="21"/>
        </w:rPr>
        <w:t>基督徒</w:t>
      </w:r>
      <w:r>
        <w:rPr>
          <w:rFonts w:ascii="宋体" w:hAnsi="宋体"/>
          <w:szCs w:val="21"/>
        </w:rPr>
        <w:fldChar w:fldCharType="end"/>
      </w:r>
      <w:r>
        <w:rPr>
          <w:rFonts w:ascii="宋体" w:hAnsi="宋体"/>
          <w:szCs w:val="21"/>
        </w:rPr>
        <w:t>、</w:t>
      </w:r>
      <w:r>
        <w:rPr>
          <w:rFonts w:ascii="宋体" w:hAnsi="宋体"/>
          <w:szCs w:val="21"/>
        </w:rPr>
        <w:fldChar w:fldCharType="begin"/>
      </w:r>
      <w:r>
        <w:rPr>
          <w:rFonts w:ascii="宋体" w:hAnsi="宋体"/>
          <w:szCs w:val="21"/>
        </w:rPr>
        <w:instrText xml:space="preserve"> HYPERLINK "http://baike.baidu.com/view/6635829.htm" \t "_blank" </w:instrText>
      </w:r>
      <w:r>
        <w:rPr>
          <w:rFonts w:ascii="宋体" w:hAnsi="宋体"/>
          <w:szCs w:val="21"/>
        </w:rPr>
        <w:fldChar w:fldCharType="separate"/>
      </w:r>
      <w:r>
        <w:rPr>
          <w:rFonts w:ascii="宋体" w:hAnsi="宋体"/>
          <w:szCs w:val="21"/>
        </w:rPr>
        <w:t>雅兹迪</w:t>
      </w:r>
      <w:r>
        <w:rPr>
          <w:rFonts w:ascii="宋体" w:hAnsi="宋体"/>
          <w:szCs w:val="21"/>
        </w:rPr>
        <w:fldChar w:fldCharType="end"/>
      </w:r>
      <w:r>
        <w:rPr>
          <w:rFonts w:ascii="宋体" w:hAnsi="宋体"/>
          <w:szCs w:val="21"/>
        </w:rPr>
        <w:t>人及其他少数</w:t>
      </w:r>
      <w:r>
        <w:rPr>
          <w:rFonts w:ascii="宋体" w:hAnsi="宋体"/>
          <w:szCs w:val="21"/>
        </w:rPr>
        <w:fldChar w:fldCharType="begin"/>
      </w:r>
      <w:r>
        <w:rPr>
          <w:rFonts w:ascii="宋体" w:hAnsi="宋体"/>
          <w:szCs w:val="21"/>
        </w:rPr>
        <w:instrText xml:space="preserve"> HYPERLINK "http://baike.baidu.com/view/3471584.htm" \t "_blank" </w:instrText>
      </w:r>
      <w:r>
        <w:rPr>
          <w:rFonts w:ascii="宋体" w:hAnsi="宋体"/>
          <w:szCs w:val="21"/>
        </w:rPr>
        <w:fldChar w:fldCharType="separate"/>
      </w:r>
      <w:r>
        <w:rPr>
          <w:rFonts w:ascii="宋体" w:hAnsi="宋体"/>
          <w:szCs w:val="21"/>
        </w:rPr>
        <w:t>族裔</w:t>
      </w:r>
      <w:r>
        <w:rPr>
          <w:rFonts w:ascii="宋体" w:hAnsi="宋体"/>
          <w:szCs w:val="21"/>
        </w:rPr>
        <w:fldChar w:fldCharType="end"/>
      </w:r>
      <w:r>
        <w:rPr>
          <w:rFonts w:ascii="宋体" w:hAnsi="宋体"/>
          <w:szCs w:val="21"/>
        </w:rPr>
        <w:t>的</w:t>
      </w:r>
      <w:r>
        <w:rPr>
          <w:rFonts w:ascii="宋体" w:hAnsi="宋体"/>
          <w:szCs w:val="21"/>
        </w:rPr>
        <w:fldChar w:fldCharType="begin"/>
      </w:r>
      <w:r>
        <w:rPr>
          <w:rFonts w:ascii="宋体" w:hAnsi="宋体"/>
          <w:szCs w:val="21"/>
        </w:rPr>
        <w:instrText xml:space="preserve"> HYPERLINK "http://baike.baidu.com/view/1720185.htm" \t "_blank" </w:instrText>
      </w:r>
      <w:r>
        <w:rPr>
          <w:rFonts w:ascii="宋体" w:hAnsi="宋体"/>
          <w:szCs w:val="21"/>
        </w:rPr>
        <w:fldChar w:fldCharType="separate"/>
      </w:r>
      <w:r>
        <w:rPr>
          <w:rFonts w:ascii="宋体" w:hAnsi="宋体"/>
          <w:szCs w:val="21"/>
        </w:rPr>
        <w:t>妇孺</w:t>
      </w:r>
      <w:r>
        <w:rPr>
          <w:rFonts w:ascii="宋体" w:hAnsi="宋体"/>
          <w:szCs w:val="21"/>
        </w:rPr>
        <w:fldChar w:fldCharType="end"/>
      </w:r>
      <w:r>
        <w:rPr>
          <w:rFonts w:ascii="宋体" w:hAnsi="宋体"/>
          <w:szCs w:val="21"/>
        </w:rPr>
        <w:t>，每名妇人或孩子</w:t>
      </w:r>
      <w:r>
        <w:rPr>
          <w:rFonts w:hint="eastAsia" w:ascii="宋体" w:hAnsi="宋体"/>
          <w:szCs w:val="21"/>
        </w:rPr>
        <w:t>售价约为</w:t>
      </w:r>
      <w:r>
        <w:rPr>
          <w:rFonts w:ascii="宋体" w:hAnsi="宋体"/>
          <w:szCs w:val="21"/>
        </w:rPr>
        <w:t>十美元。</w:t>
      </w:r>
      <w:r>
        <w:rPr>
          <w:rStyle w:val="12"/>
          <w:rFonts w:ascii="宋体" w:hAnsi="宋体"/>
          <w:sz w:val="24"/>
        </w:rPr>
        <w:t>[</w:t>
      </w:r>
      <w:r>
        <w:rPr>
          <w:rStyle w:val="12"/>
          <w:rFonts w:ascii="宋体" w:hAnsi="宋体"/>
          <w:sz w:val="24"/>
        </w:rPr>
        <w:footnoteReference w:id="88"/>
      </w:r>
      <w:r>
        <w:rPr>
          <w:rStyle w:val="12"/>
          <w:rFonts w:ascii="宋体" w:hAnsi="宋体"/>
          <w:sz w:val="24"/>
        </w:rPr>
        <w:t>]</w:t>
      </w:r>
      <w:r>
        <w:rPr>
          <w:rFonts w:ascii="宋体" w:hAnsi="宋体"/>
          <w:szCs w:val="21"/>
        </w:rPr>
        <w:t>武装分子的奴隶市场设于伊拉克</w:t>
      </w:r>
      <w:r>
        <w:rPr>
          <w:rFonts w:ascii="宋体" w:hAnsi="宋体"/>
          <w:szCs w:val="21"/>
        </w:rPr>
        <w:fldChar w:fldCharType="begin"/>
      </w:r>
      <w:r>
        <w:rPr>
          <w:rFonts w:ascii="宋体" w:hAnsi="宋体"/>
          <w:szCs w:val="21"/>
        </w:rPr>
        <w:instrText xml:space="preserve"> HYPERLINK "http://baike.baidu.com/view/781946.htm" \t "_blank" </w:instrText>
      </w:r>
      <w:r>
        <w:rPr>
          <w:rFonts w:ascii="宋体" w:hAnsi="宋体"/>
          <w:szCs w:val="21"/>
        </w:rPr>
        <w:fldChar w:fldCharType="separate"/>
      </w:r>
      <w:r>
        <w:rPr>
          <w:rFonts w:ascii="宋体" w:hAnsi="宋体"/>
          <w:szCs w:val="21"/>
        </w:rPr>
        <w:t>摩苏尔</w:t>
      </w:r>
      <w:r>
        <w:rPr>
          <w:rFonts w:ascii="宋体" w:hAnsi="宋体"/>
          <w:szCs w:val="21"/>
        </w:rPr>
        <w:fldChar w:fldCharType="end"/>
      </w:r>
      <w:r>
        <w:rPr>
          <w:rFonts w:ascii="宋体" w:hAnsi="宋体"/>
          <w:szCs w:val="21"/>
        </w:rPr>
        <w:t>的圣城区及叙利亚的</w:t>
      </w:r>
      <w:r>
        <w:rPr>
          <w:rFonts w:ascii="宋体" w:hAnsi="宋体"/>
          <w:szCs w:val="21"/>
        </w:rPr>
        <w:fldChar w:fldCharType="begin"/>
      </w:r>
      <w:r>
        <w:rPr>
          <w:rFonts w:ascii="宋体" w:hAnsi="宋体"/>
          <w:szCs w:val="21"/>
        </w:rPr>
        <w:instrText xml:space="preserve"> HYPERLINK "http://baike.baidu.com/subview/843826/13487500.htm" \t "_blank" </w:instrText>
      </w:r>
      <w:r>
        <w:rPr>
          <w:rFonts w:ascii="宋体" w:hAnsi="宋体"/>
          <w:szCs w:val="21"/>
        </w:rPr>
        <w:fldChar w:fldCharType="separate"/>
      </w:r>
      <w:r>
        <w:rPr>
          <w:rFonts w:ascii="宋体" w:hAnsi="宋体"/>
          <w:szCs w:val="21"/>
        </w:rPr>
        <w:t>拉卡</w:t>
      </w:r>
      <w:r>
        <w:rPr>
          <w:rFonts w:ascii="宋体" w:hAnsi="宋体"/>
          <w:szCs w:val="21"/>
        </w:rPr>
        <w:fldChar w:fldCharType="end"/>
      </w:r>
      <w:r>
        <w:rPr>
          <w:rFonts w:ascii="宋体" w:hAnsi="宋体"/>
          <w:szCs w:val="21"/>
        </w:rPr>
        <w:t>，设立奴隶市场</w:t>
      </w:r>
      <w:r>
        <w:rPr>
          <w:rFonts w:hint="eastAsia" w:ascii="宋体" w:hAnsi="宋体"/>
          <w:szCs w:val="21"/>
        </w:rPr>
        <w:t>除了贩卖奴隶外，另一目的</w:t>
      </w:r>
      <w:r>
        <w:rPr>
          <w:rFonts w:ascii="宋体" w:hAnsi="宋体"/>
          <w:szCs w:val="21"/>
        </w:rPr>
        <w:t>是为IS</w:t>
      </w:r>
      <w:r>
        <w:rPr>
          <w:rFonts w:hint="eastAsia" w:ascii="宋体" w:hAnsi="宋体"/>
          <w:szCs w:val="21"/>
        </w:rPr>
        <w:t>IS</w:t>
      </w:r>
      <w:r>
        <w:rPr>
          <w:rFonts w:ascii="宋体" w:hAnsi="宋体"/>
          <w:szCs w:val="21"/>
        </w:rPr>
        <w:t>招揽新血</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jc w:val="both"/>
        <w:textAlignment w:val="auto"/>
        <w:outlineLvl w:val="9"/>
        <w:rPr>
          <w:rFonts w:hint="eastAsia" w:ascii="宋体" w:hAnsi="宋体"/>
          <w:b/>
          <w:sz w:val="24"/>
        </w:rPr>
      </w:pPr>
      <w:r>
        <w:rPr>
          <w:rFonts w:hint="eastAsia" w:ascii="宋体" w:hAnsi="宋体"/>
          <w:b/>
          <w:sz w:val="24"/>
        </w:rPr>
        <w:t>（四）发动爆炸袭击</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ascii="宋体" w:hAnsi="宋体"/>
          <w:szCs w:val="21"/>
        </w:rPr>
        <w:t>2014年10月11日晚，</w:t>
      </w:r>
      <w:r>
        <w:rPr>
          <w:rFonts w:hint="eastAsia" w:ascii="宋体" w:hAnsi="宋体"/>
          <w:szCs w:val="21"/>
        </w:rPr>
        <w:t>ISIS</w:t>
      </w:r>
      <w:r>
        <w:rPr>
          <w:rFonts w:ascii="宋体" w:hAnsi="宋体"/>
          <w:szCs w:val="21"/>
        </w:rPr>
        <w:t>极端分子在巴格达和乡村郊区接连</w:t>
      </w:r>
      <w:r>
        <w:rPr>
          <w:rFonts w:hint="eastAsia" w:ascii="宋体" w:hAnsi="宋体"/>
          <w:szCs w:val="21"/>
        </w:rPr>
        <w:t>制造了多起</w:t>
      </w:r>
      <w:r>
        <w:rPr>
          <w:rFonts w:ascii="宋体" w:hAnsi="宋体"/>
          <w:szCs w:val="21"/>
        </w:rPr>
        <w:t>汽车炸弹袭击，造成至少45人死亡和110人受伤。极端分子频频锁定巴格达什叶派小区发动攻击，</w:t>
      </w:r>
      <w:r>
        <w:rPr>
          <w:rFonts w:hint="eastAsia" w:ascii="宋体" w:hAnsi="宋体"/>
          <w:szCs w:val="21"/>
        </w:rPr>
        <w:t>同时</w:t>
      </w:r>
      <w:r>
        <w:rPr>
          <w:rFonts w:ascii="宋体" w:hAnsi="宋体"/>
          <w:szCs w:val="21"/>
        </w:rPr>
        <w:t>不断渗透首都周边</w:t>
      </w:r>
      <w:r>
        <w:rPr>
          <w:rFonts w:hint="eastAsia" w:ascii="宋体" w:hAnsi="宋体"/>
          <w:szCs w:val="21"/>
        </w:rPr>
        <w:t>的</w:t>
      </w:r>
      <w:r>
        <w:rPr>
          <w:rFonts w:ascii="宋体" w:hAnsi="宋体"/>
          <w:szCs w:val="21"/>
        </w:rPr>
        <w:t>乡村地区，伊拉克安全部队和什叶派民兵则竭力试图将他们击退。</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jc w:val="both"/>
        <w:textAlignment w:val="auto"/>
        <w:outlineLvl w:val="9"/>
        <w:rPr>
          <w:rFonts w:hint="eastAsia" w:ascii="宋体" w:hAnsi="宋体"/>
          <w:b/>
          <w:sz w:val="24"/>
        </w:rPr>
      </w:pPr>
      <w:r>
        <w:rPr>
          <w:rFonts w:hint="eastAsia" w:ascii="宋体" w:hAnsi="宋体"/>
          <w:b/>
          <w:sz w:val="24"/>
        </w:rPr>
        <w:t>（五）大肆破坏文物</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Style w:val="12"/>
          <w:rFonts w:hint="eastAsia"/>
          <w:b/>
          <w:sz w:val="24"/>
        </w:rPr>
      </w:pPr>
      <w:r>
        <w:rPr>
          <w:rFonts w:ascii="宋体" w:hAnsi="宋体"/>
          <w:szCs w:val="21"/>
        </w:rPr>
        <w:t>2015年2月26日，ISIS</w:t>
      </w:r>
      <w:r>
        <w:rPr>
          <w:rFonts w:hint="eastAsia" w:ascii="宋体" w:hAnsi="宋体"/>
          <w:szCs w:val="21"/>
        </w:rPr>
        <w:t>通过一个</w:t>
      </w:r>
      <w:r>
        <w:rPr>
          <w:rFonts w:ascii="宋体" w:hAnsi="宋体"/>
          <w:szCs w:val="21"/>
        </w:rPr>
        <w:fldChar w:fldCharType="begin"/>
      </w:r>
      <w:r>
        <w:rPr>
          <w:rFonts w:ascii="宋体" w:hAnsi="宋体"/>
          <w:szCs w:val="21"/>
        </w:rPr>
        <w:instrText xml:space="preserve"> HYPERLINK "http://baike.baidu.com/view/2399664.htm" \t "_blank" </w:instrText>
      </w:r>
      <w:r>
        <w:rPr>
          <w:rFonts w:ascii="宋体" w:hAnsi="宋体"/>
          <w:szCs w:val="21"/>
        </w:rPr>
        <w:fldChar w:fldCharType="separate"/>
      </w:r>
      <w:r>
        <w:rPr>
          <w:rFonts w:hint="eastAsia" w:ascii="宋体" w:hAnsi="宋体"/>
          <w:szCs w:val="21"/>
        </w:rPr>
        <w:t>推特</w:t>
      </w:r>
      <w:r>
        <w:rPr>
          <w:rFonts w:ascii="宋体" w:hAnsi="宋体"/>
          <w:szCs w:val="21"/>
        </w:rPr>
        <w:fldChar w:fldCharType="end"/>
      </w:r>
      <w:r>
        <w:rPr>
          <w:rFonts w:ascii="宋体" w:hAnsi="宋体"/>
          <w:szCs w:val="21"/>
        </w:rPr>
        <w:t>帐号发布了一</w:t>
      </w:r>
      <w:r>
        <w:rPr>
          <w:rFonts w:hint="eastAsia" w:ascii="宋体" w:hAnsi="宋体"/>
          <w:szCs w:val="21"/>
        </w:rPr>
        <w:t>段</w:t>
      </w:r>
      <w:r>
        <w:rPr>
          <w:rFonts w:ascii="宋体" w:hAnsi="宋体"/>
          <w:szCs w:val="21"/>
        </w:rPr>
        <w:t>五分钟的视频，在伊拉克北部重镇摩苏尔的一家博物馆内，无数雕像被武装分子推倒</w:t>
      </w:r>
      <w:r>
        <w:rPr>
          <w:rFonts w:hint="eastAsia" w:ascii="宋体" w:hAnsi="宋体"/>
          <w:szCs w:val="21"/>
        </w:rPr>
        <w:t>并</w:t>
      </w:r>
      <w:r>
        <w:rPr>
          <w:rFonts w:ascii="宋体" w:hAnsi="宋体"/>
          <w:szCs w:val="21"/>
        </w:rPr>
        <w:t>用大锤和</w:t>
      </w:r>
      <w:r>
        <w:rPr>
          <w:rFonts w:ascii="宋体" w:hAnsi="宋体"/>
          <w:szCs w:val="21"/>
        </w:rPr>
        <w:fldChar w:fldCharType="begin"/>
      </w:r>
      <w:r>
        <w:rPr>
          <w:rFonts w:ascii="宋体" w:hAnsi="宋体"/>
          <w:szCs w:val="21"/>
        </w:rPr>
        <w:instrText xml:space="preserve"> HYPERLINK "http://baike.baidu.com/view/1056661.htm" \t "_blank" </w:instrText>
      </w:r>
      <w:r>
        <w:rPr>
          <w:rFonts w:ascii="宋体" w:hAnsi="宋体"/>
          <w:szCs w:val="21"/>
        </w:rPr>
        <w:fldChar w:fldCharType="separate"/>
      </w:r>
      <w:r>
        <w:rPr>
          <w:rFonts w:ascii="宋体" w:hAnsi="宋体"/>
          <w:szCs w:val="21"/>
        </w:rPr>
        <w:t>电钻</w:t>
      </w:r>
      <w:r>
        <w:rPr>
          <w:rFonts w:ascii="宋体" w:hAnsi="宋体"/>
          <w:szCs w:val="21"/>
        </w:rPr>
        <w:fldChar w:fldCharType="end"/>
      </w:r>
      <w:r>
        <w:rPr>
          <w:rFonts w:ascii="宋体" w:hAnsi="宋体"/>
          <w:szCs w:val="21"/>
        </w:rPr>
        <w:t>砸碎。一座人首翼牛像正</w:t>
      </w:r>
      <w:r>
        <w:rPr>
          <w:rFonts w:hint="eastAsia" w:ascii="宋体" w:hAnsi="宋体"/>
          <w:szCs w:val="21"/>
        </w:rPr>
        <w:t>在</w:t>
      </w:r>
      <w:r>
        <w:rPr>
          <w:rFonts w:ascii="宋体" w:hAnsi="宋体"/>
          <w:szCs w:val="21"/>
        </w:rPr>
        <w:t>被破坏</w:t>
      </w:r>
      <w:r>
        <w:rPr>
          <w:rFonts w:hint="eastAsia" w:ascii="宋体" w:hAnsi="宋体"/>
          <w:szCs w:val="21"/>
        </w:rPr>
        <w:t>，这一形象作为</w:t>
      </w:r>
      <w:r>
        <w:rPr>
          <w:rFonts w:ascii="宋体" w:hAnsi="宋体"/>
          <w:szCs w:val="21"/>
        </w:rPr>
        <w:fldChar w:fldCharType="begin"/>
      </w:r>
      <w:r>
        <w:rPr>
          <w:rFonts w:ascii="宋体" w:hAnsi="宋体"/>
          <w:szCs w:val="21"/>
        </w:rPr>
        <w:instrText xml:space="preserve"> HYPERLINK "http://baike.baidu.com/view/977222.htm" \t "_blank" </w:instrText>
      </w:r>
      <w:r>
        <w:rPr>
          <w:rFonts w:ascii="宋体" w:hAnsi="宋体"/>
          <w:szCs w:val="21"/>
        </w:rPr>
        <w:fldChar w:fldCharType="separate"/>
      </w:r>
      <w:r>
        <w:rPr>
          <w:rFonts w:ascii="宋体" w:hAnsi="宋体"/>
          <w:szCs w:val="21"/>
        </w:rPr>
        <w:t>亚述人</w:t>
      </w:r>
      <w:r>
        <w:rPr>
          <w:rFonts w:ascii="宋体" w:hAnsi="宋体"/>
          <w:szCs w:val="21"/>
        </w:rPr>
        <w:fldChar w:fldCharType="end"/>
      </w:r>
      <w:r>
        <w:rPr>
          <w:rFonts w:ascii="宋体" w:hAnsi="宋体"/>
          <w:szCs w:val="21"/>
        </w:rPr>
        <w:t>的保护神可以</w:t>
      </w:r>
      <w:r>
        <w:rPr>
          <w:rFonts w:ascii="宋体" w:hAnsi="宋体"/>
          <w:szCs w:val="21"/>
        </w:rPr>
        <w:fldChar w:fldCharType="begin"/>
      </w:r>
      <w:r>
        <w:rPr>
          <w:rFonts w:ascii="宋体" w:hAnsi="宋体"/>
          <w:szCs w:val="21"/>
        </w:rPr>
        <w:instrText xml:space="preserve"> HYPERLINK "http://baike.baidu.com/view/588856.htm" \t "_blank" </w:instrText>
      </w:r>
      <w:r>
        <w:rPr>
          <w:rFonts w:ascii="宋体" w:hAnsi="宋体"/>
          <w:szCs w:val="21"/>
        </w:rPr>
        <w:fldChar w:fldCharType="separate"/>
      </w:r>
      <w:r>
        <w:rPr>
          <w:rFonts w:ascii="宋体" w:hAnsi="宋体"/>
          <w:szCs w:val="21"/>
        </w:rPr>
        <w:t>追溯</w:t>
      </w:r>
      <w:r>
        <w:rPr>
          <w:rFonts w:ascii="宋体" w:hAnsi="宋体"/>
          <w:szCs w:val="21"/>
        </w:rPr>
        <w:fldChar w:fldCharType="end"/>
      </w:r>
      <w:r>
        <w:rPr>
          <w:rFonts w:ascii="宋体" w:hAnsi="宋体"/>
          <w:szCs w:val="21"/>
        </w:rPr>
        <w:t>到</w:t>
      </w:r>
      <w:r>
        <w:rPr>
          <w:rFonts w:ascii="宋体" w:hAnsi="宋体"/>
          <w:szCs w:val="21"/>
        </w:rPr>
        <w:fldChar w:fldCharType="begin"/>
      </w:r>
      <w:r>
        <w:rPr>
          <w:rFonts w:ascii="宋体" w:hAnsi="宋体"/>
          <w:szCs w:val="21"/>
        </w:rPr>
        <w:instrText xml:space="preserve"> HYPERLINK "http://baike.baidu.com/view/1039767.htm" \t "_blank" </w:instrText>
      </w:r>
      <w:r>
        <w:rPr>
          <w:rFonts w:ascii="宋体" w:hAnsi="宋体"/>
          <w:szCs w:val="21"/>
        </w:rPr>
        <w:fldChar w:fldCharType="separate"/>
      </w:r>
      <w:r>
        <w:rPr>
          <w:rFonts w:ascii="宋体" w:hAnsi="宋体"/>
          <w:szCs w:val="21"/>
        </w:rPr>
        <w:t>公元前</w:t>
      </w:r>
      <w:r>
        <w:rPr>
          <w:rFonts w:ascii="宋体" w:hAnsi="宋体"/>
          <w:szCs w:val="21"/>
        </w:rPr>
        <w:fldChar w:fldCharType="end"/>
      </w:r>
      <w:r>
        <w:rPr>
          <w:rFonts w:hint="eastAsia" w:ascii="宋体" w:hAnsi="宋体"/>
          <w:szCs w:val="21"/>
        </w:rPr>
        <w:t>七</w:t>
      </w:r>
      <w:r>
        <w:rPr>
          <w:rFonts w:ascii="宋体" w:hAnsi="宋体"/>
          <w:szCs w:val="21"/>
        </w:rPr>
        <w:t>世纪。考古学者拉弥亚</w:t>
      </w:r>
      <w:r>
        <w:rPr>
          <w:rFonts w:hint="eastAsia" w:ascii="宋体" w:hAnsi="宋体"/>
          <w:szCs w:val="21"/>
        </w:rPr>
        <w:t>·</w:t>
      </w:r>
      <w:r>
        <w:rPr>
          <w:rFonts w:ascii="宋体" w:hAnsi="宋体"/>
          <w:szCs w:val="21"/>
        </w:rPr>
        <w:t>阿尔吉拉尼(Lamia al-Gailani)称</w:t>
      </w:r>
      <w:r>
        <w:rPr>
          <w:rFonts w:hint="eastAsia" w:ascii="宋体" w:hAnsi="宋体"/>
          <w:szCs w:val="21"/>
        </w:rPr>
        <w:t>：</w:t>
      </w:r>
      <w:r>
        <w:rPr>
          <w:rFonts w:ascii="宋体" w:hAnsi="宋体"/>
          <w:szCs w:val="21"/>
        </w:rPr>
        <w:t>ISIS对文物造成的无尽破坏不仅是伊拉克文化遗产的损失，更是全世界的损失。</w:t>
      </w:r>
      <w:r>
        <w:rPr>
          <w:rStyle w:val="12"/>
          <w:rFonts w:ascii="宋体" w:hAnsi="宋体"/>
          <w:sz w:val="24"/>
        </w:rPr>
        <w:t>[</w:t>
      </w:r>
      <w:r>
        <w:rPr>
          <w:rStyle w:val="12"/>
          <w:rFonts w:ascii="宋体" w:hAnsi="宋体"/>
          <w:sz w:val="24"/>
        </w:rPr>
        <w:footnoteReference w:id="89"/>
      </w:r>
      <w:r>
        <w:rPr>
          <w:rStyle w:val="12"/>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更有</w:t>
      </w:r>
      <w:r>
        <w:rPr>
          <w:rFonts w:ascii="宋体" w:hAnsi="宋体"/>
          <w:szCs w:val="21"/>
        </w:rPr>
        <w:t>联合国</w:t>
      </w:r>
      <w:r>
        <w:rPr>
          <w:rFonts w:hint="eastAsia" w:ascii="宋体" w:hAnsi="宋体"/>
          <w:szCs w:val="21"/>
        </w:rPr>
        <w:t>方面的消息表明</w:t>
      </w:r>
      <w:r>
        <w:rPr>
          <w:rFonts w:ascii="宋体" w:hAnsi="宋体"/>
          <w:szCs w:val="21"/>
        </w:rPr>
        <w:t>，ISIS</w:t>
      </w:r>
      <w:r>
        <w:rPr>
          <w:rFonts w:hint="eastAsia" w:ascii="宋体" w:hAnsi="宋体"/>
          <w:szCs w:val="21"/>
        </w:rPr>
        <w:t>不仅</w:t>
      </w:r>
      <w:r>
        <w:rPr>
          <w:rFonts w:ascii="宋体" w:hAnsi="宋体"/>
          <w:szCs w:val="21"/>
        </w:rPr>
        <w:t>破坏占领区内</w:t>
      </w:r>
      <w:r>
        <w:rPr>
          <w:rFonts w:hint="eastAsia" w:ascii="宋体" w:hAnsi="宋体"/>
          <w:szCs w:val="21"/>
        </w:rPr>
        <w:t>的</w:t>
      </w:r>
      <w:r>
        <w:rPr>
          <w:rFonts w:ascii="宋体" w:hAnsi="宋体"/>
          <w:szCs w:val="21"/>
        </w:rPr>
        <w:t>文物，还在黑市大量贩卖古文物以换取活动资金。</w:t>
      </w:r>
      <w:r>
        <w:rPr>
          <w:rFonts w:hint="eastAsia" w:ascii="宋体" w:hAnsi="宋体"/>
          <w:szCs w:val="21"/>
        </w:rPr>
        <w:t>这无疑是对世界古文化遗产的严重破坏。</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jc w:val="both"/>
        <w:textAlignment w:val="auto"/>
        <w:outlineLvl w:val="9"/>
        <w:rPr>
          <w:rFonts w:hint="eastAsia" w:ascii="宋体" w:hAnsi="宋体"/>
          <w:b/>
          <w:sz w:val="24"/>
        </w:rPr>
      </w:pPr>
      <w:r>
        <w:rPr>
          <w:rFonts w:hint="eastAsia" w:ascii="宋体" w:hAnsi="宋体"/>
          <w:b/>
          <w:sz w:val="24"/>
        </w:rPr>
        <w:t>（六）炸毁俄罗斯客机</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ascii="宋体" w:hAnsi="宋体"/>
          <w:szCs w:val="21"/>
        </w:rPr>
      </w:pPr>
      <w:r>
        <w:rPr>
          <w:rFonts w:ascii="宋体" w:hAnsi="宋体"/>
          <w:szCs w:val="21"/>
        </w:rPr>
        <w:t>2015年9月30日，俄罗斯开始空袭叙利亚，并在近几周加强了空袭。</w:t>
      </w:r>
      <w:r>
        <w:rPr>
          <w:rFonts w:hint="eastAsia" w:ascii="宋体" w:hAnsi="宋体"/>
          <w:szCs w:val="21"/>
        </w:rPr>
        <w:t>同年</w:t>
      </w:r>
      <w:r>
        <w:rPr>
          <w:rFonts w:ascii="宋体" w:hAnsi="宋体"/>
          <w:szCs w:val="21"/>
        </w:rPr>
        <w:t>10月，俄罗斯一架客机</w:t>
      </w:r>
      <w:r>
        <w:rPr>
          <w:rFonts w:hint="eastAsia" w:ascii="宋体" w:hAnsi="宋体"/>
          <w:szCs w:val="21"/>
        </w:rPr>
        <w:t>被击中并</w:t>
      </w:r>
      <w:r>
        <w:rPr>
          <w:rFonts w:ascii="宋体" w:hAnsi="宋体"/>
          <w:szCs w:val="21"/>
        </w:rPr>
        <w:t>坠毁于埃及，机上224人全部遇难，</w:t>
      </w:r>
      <w:r>
        <w:rPr>
          <w:rFonts w:hint="eastAsia" w:ascii="宋体" w:hAnsi="宋体"/>
          <w:szCs w:val="21"/>
        </w:rPr>
        <w:t>ISIS</w:t>
      </w:r>
      <w:r>
        <w:rPr>
          <w:rFonts w:ascii="宋体" w:hAnsi="宋体"/>
          <w:szCs w:val="21"/>
        </w:rPr>
        <w:t>在埃及的一个下属组织宣称对此</w:t>
      </w:r>
      <w:r>
        <w:rPr>
          <w:rFonts w:hint="eastAsia" w:ascii="宋体" w:hAnsi="宋体"/>
          <w:szCs w:val="21"/>
        </w:rPr>
        <w:t>事</w:t>
      </w:r>
      <w:r>
        <w:rPr>
          <w:rFonts w:ascii="宋体" w:hAnsi="宋体"/>
          <w:szCs w:val="21"/>
        </w:rPr>
        <w:t>负责。</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jc w:val="both"/>
        <w:textAlignment w:val="auto"/>
        <w:outlineLvl w:val="9"/>
        <w:rPr>
          <w:rFonts w:hint="eastAsia" w:ascii="宋体" w:hAnsi="宋体"/>
          <w:b/>
          <w:sz w:val="24"/>
        </w:rPr>
      </w:pPr>
      <w:r>
        <w:rPr>
          <w:rFonts w:hint="eastAsia" w:ascii="宋体" w:hAnsi="宋体"/>
          <w:b/>
          <w:sz w:val="24"/>
        </w:rPr>
        <w:t>（七）制造巴黎恐怖袭击事件</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ascii="宋体" w:hAnsi="宋体"/>
          <w:szCs w:val="21"/>
        </w:rPr>
      </w:pPr>
      <w:r>
        <w:rPr>
          <w:rFonts w:ascii="宋体" w:hAnsi="宋体"/>
          <w:szCs w:val="21"/>
        </w:rPr>
        <w:t>2015年11月13日，</w:t>
      </w:r>
      <w:r>
        <w:rPr>
          <w:rFonts w:ascii="宋体" w:hAnsi="宋体"/>
          <w:szCs w:val="21"/>
        </w:rPr>
        <w:fldChar w:fldCharType="begin"/>
      </w:r>
      <w:r>
        <w:rPr>
          <w:rFonts w:ascii="宋体" w:hAnsi="宋体"/>
          <w:szCs w:val="21"/>
        </w:rPr>
        <w:instrText xml:space="preserve"> HYPERLINK "http://baike.baidu.com/subview/64741/14766784.htm" \t "_blank" </w:instrText>
      </w:r>
      <w:r>
        <w:rPr>
          <w:rFonts w:ascii="宋体" w:hAnsi="宋体"/>
          <w:szCs w:val="21"/>
        </w:rPr>
        <w:fldChar w:fldCharType="separate"/>
      </w:r>
      <w:r>
        <w:rPr>
          <w:rFonts w:ascii="宋体" w:hAnsi="宋体"/>
          <w:szCs w:val="21"/>
        </w:rPr>
        <w:t>法国</w:t>
      </w:r>
      <w:r>
        <w:rPr>
          <w:rFonts w:ascii="宋体" w:hAnsi="宋体"/>
          <w:szCs w:val="21"/>
        </w:rPr>
        <w:fldChar w:fldCharType="end"/>
      </w:r>
      <w:r>
        <w:rPr>
          <w:rFonts w:ascii="宋体" w:hAnsi="宋体"/>
          <w:szCs w:val="21"/>
        </w:rPr>
        <w:t>巴黎市中心发生多起枪击爆炸事件，造成</w:t>
      </w:r>
      <w:r>
        <w:rPr>
          <w:rFonts w:hint="eastAsia" w:ascii="宋体" w:hAnsi="宋体"/>
          <w:szCs w:val="21"/>
        </w:rPr>
        <w:t>上</w:t>
      </w:r>
      <w:r>
        <w:rPr>
          <w:rFonts w:ascii="宋体" w:hAnsi="宋体"/>
          <w:szCs w:val="21"/>
        </w:rPr>
        <w:t>百人死亡</w:t>
      </w:r>
      <w:r>
        <w:rPr>
          <w:rFonts w:hint="eastAsia" w:ascii="宋体" w:hAnsi="宋体"/>
          <w:szCs w:val="21"/>
        </w:rPr>
        <w:t>，数百人受伤</w:t>
      </w:r>
      <w:r>
        <w:rPr>
          <w:rFonts w:ascii="宋体" w:hAnsi="宋体"/>
          <w:szCs w:val="21"/>
        </w:rPr>
        <w:t>。</w:t>
      </w:r>
      <w:r>
        <w:rPr>
          <w:rFonts w:hint="eastAsia" w:ascii="宋体" w:hAnsi="宋体"/>
          <w:szCs w:val="21"/>
        </w:rPr>
        <w:t>而</w:t>
      </w:r>
      <w:r>
        <w:rPr>
          <w:rFonts w:ascii="宋体" w:hAnsi="宋体"/>
          <w:szCs w:val="21"/>
        </w:rPr>
        <w:t>ISIS</w:t>
      </w:r>
      <w:r>
        <w:rPr>
          <w:rFonts w:hint="eastAsia" w:ascii="宋体" w:hAnsi="宋体"/>
          <w:szCs w:val="21"/>
        </w:rPr>
        <w:t>的</w:t>
      </w:r>
      <w:r>
        <w:rPr>
          <w:rFonts w:ascii="宋体" w:hAnsi="宋体"/>
          <w:szCs w:val="21"/>
        </w:rPr>
        <w:t>宣传机构——生活媒体中心(Al-Hayat media center)</w:t>
      </w:r>
      <w:r>
        <w:rPr>
          <w:rFonts w:hint="eastAsia" w:ascii="宋体" w:hAnsi="宋体"/>
          <w:szCs w:val="21"/>
        </w:rPr>
        <w:t>在14日</w:t>
      </w:r>
      <w:r>
        <w:rPr>
          <w:rFonts w:ascii="宋体" w:hAnsi="宋体"/>
          <w:szCs w:val="21"/>
        </w:rPr>
        <w:t>正式宣称对袭击事件负责，并</w:t>
      </w:r>
      <w:r>
        <w:rPr>
          <w:rFonts w:hint="eastAsia" w:ascii="宋体" w:hAnsi="宋体"/>
          <w:szCs w:val="21"/>
        </w:rPr>
        <w:t>骄傲地</w:t>
      </w:r>
      <w:r>
        <w:rPr>
          <w:rFonts w:ascii="宋体" w:hAnsi="宋体"/>
          <w:szCs w:val="21"/>
        </w:rPr>
        <w:t>称其为一个“奇迹”。</w:t>
      </w:r>
      <w:r>
        <w:rPr>
          <w:rStyle w:val="12"/>
          <w:rFonts w:ascii="宋体" w:hAnsi="宋体"/>
          <w:b/>
          <w:sz w:val="24"/>
        </w:rPr>
        <w:t xml:space="preserve"> </w:t>
      </w:r>
      <w:r>
        <w:rPr>
          <w:rStyle w:val="12"/>
          <w:rFonts w:ascii="宋体" w:hAnsi="宋体"/>
          <w:sz w:val="24"/>
        </w:rPr>
        <w:t>[</w:t>
      </w:r>
      <w:r>
        <w:rPr>
          <w:rStyle w:val="12"/>
          <w:rFonts w:ascii="宋体" w:hAnsi="宋体"/>
          <w:sz w:val="24"/>
        </w:rPr>
        <w:footnoteReference w:id="90"/>
      </w:r>
      <w:r>
        <w:rPr>
          <w:rStyle w:val="12"/>
          <w:rFonts w:ascii="宋体" w:hAnsi="宋体"/>
          <w:sz w:val="24"/>
        </w:rPr>
        <w:t>]</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jc w:val="both"/>
        <w:textAlignment w:val="auto"/>
        <w:outlineLvl w:val="9"/>
        <w:rPr>
          <w:rFonts w:hint="eastAsia" w:ascii="宋体" w:hAnsi="宋体"/>
          <w:b/>
          <w:sz w:val="24"/>
        </w:rPr>
      </w:pPr>
      <w:r>
        <w:rPr>
          <w:rFonts w:hint="eastAsia" w:ascii="宋体" w:hAnsi="宋体"/>
          <w:b/>
          <w:sz w:val="24"/>
        </w:rPr>
        <w:t>（八）残杀各国人质</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ISIS惯用绑架人质的手段来提出其或交换人员或交换金钱的条件。有时是以被绑的基督徒</w:t>
      </w:r>
      <w:r>
        <w:rPr>
          <w:rFonts w:ascii="宋体" w:hAnsi="宋体"/>
          <w:szCs w:val="21"/>
        </w:rPr>
        <w:t>人质交换被库尔德人扣押的极端组织武装分子，</w:t>
      </w:r>
      <w:r>
        <w:rPr>
          <w:rFonts w:hint="eastAsia" w:ascii="宋体" w:hAnsi="宋体"/>
          <w:szCs w:val="21"/>
        </w:rPr>
        <w:t>有时则是以绑架的平民或记者向其所在国政府索要赎金。美国、英国、日本、法国等多个国家曾被ISIS以杀害人质作为要挟索要巨额赎金，且这些人质最终难逃被以割喉、斩首等手段残忍处死的厄运。</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ascii="宋体" w:hAnsi="宋体"/>
          <w:szCs w:val="21"/>
        </w:rPr>
      </w:pPr>
      <w:r>
        <w:rPr>
          <w:rFonts w:ascii="宋体" w:hAnsi="宋体"/>
          <w:szCs w:val="21"/>
        </w:rPr>
        <w:t>纽约时报11月18日报道，ISIS当天稍早宣布其处决了两名人质，其中</w:t>
      </w:r>
      <w:r>
        <w:rPr>
          <w:rFonts w:hint="eastAsia" w:ascii="宋体" w:hAnsi="宋体"/>
          <w:szCs w:val="21"/>
        </w:rPr>
        <w:t>一人为</w:t>
      </w:r>
      <w:r>
        <w:rPr>
          <w:rFonts w:ascii="宋体" w:hAnsi="宋体"/>
          <w:szCs w:val="21"/>
        </w:rPr>
        <w:fldChar w:fldCharType="begin"/>
      </w:r>
      <w:r>
        <w:rPr>
          <w:rFonts w:ascii="宋体" w:hAnsi="宋体"/>
          <w:szCs w:val="21"/>
        </w:rPr>
        <w:instrText xml:space="preserve"> HYPERLINK "http://news.fx678.com/news/keywords/zg.shtml" \t "_blank" </w:instrText>
      </w:r>
      <w:r>
        <w:rPr>
          <w:rFonts w:ascii="宋体" w:hAnsi="宋体"/>
          <w:szCs w:val="21"/>
        </w:rPr>
        <w:fldChar w:fldCharType="separate"/>
      </w:r>
      <w:r>
        <w:rPr>
          <w:rFonts w:ascii="宋体" w:hAnsi="宋体"/>
          <w:szCs w:val="21"/>
        </w:rPr>
        <w:t>中国</w:t>
      </w:r>
      <w:r>
        <w:rPr>
          <w:rFonts w:ascii="宋体" w:hAnsi="宋体"/>
          <w:szCs w:val="21"/>
        </w:rPr>
        <w:fldChar w:fldCharType="end"/>
      </w:r>
      <w:r>
        <w:rPr>
          <w:rFonts w:ascii="宋体" w:hAnsi="宋体"/>
          <w:szCs w:val="21"/>
        </w:rPr>
        <w:t>公民</w:t>
      </w:r>
      <w:r>
        <w:rPr>
          <w:rFonts w:hint="eastAsia" w:ascii="宋体" w:hAnsi="宋体"/>
          <w:szCs w:val="21"/>
        </w:rPr>
        <w:t>，另一名人质则来自挪威</w:t>
      </w:r>
      <w:r>
        <w:rPr>
          <w:rFonts w:ascii="宋体" w:hAnsi="宋体"/>
          <w:szCs w:val="21"/>
        </w:rPr>
        <w:t>。</w:t>
      </w:r>
      <w:r>
        <w:rPr>
          <w:rFonts w:ascii="宋体" w:hAnsi="宋体"/>
          <w:szCs w:val="21"/>
        </w:rPr>
        <w:fldChar w:fldCharType="begin"/>
      </w:r>
      <w:r>
        <w:rPr>
          <w:rFonts w:ascii="宋体" w:hAnsi="宋体"/>
          <w:szCs w:val="21"/>
        </w:rPr>
        <w:instrText xml:space="preserve"> HYPERLINK "http://baike.baidu.com/view/16232.htm" \t "_blank" </w:instrText>
      </w:r>
      <w:r>
        <w:rPr>
          <w:rFonts w:ascii="宋体" w:hAnsi="宋体"/>
          <w:szCs w:val="21"/>
        </w:rPr>
        <w:fldChar w:fldCharType="separate"/>
      </w:r>
      <w:r>
        <w:rPr>
          <w:rFonts w:ascii="宋体" w:hAnsi="宋体"/>
          <w:szCs w:val="21"/>
        </w:rPr>
        <w:t>联合国安理会</w:t>
      </w:r>
      <w:r>
        <w:rPr>
          <w:rFonts w:ascii="宋体" w:hAnsi="宋体"/>
          <w:szCs w:val="21"/>
        </w:rPr>
        <w:fldChar w:fldCharType="end"/>
      </w:r>
      <w:r>
        <w:rPr>
          <w:rFonts w:ascii="宋体" w:hAnsi="宋体"/>
          <w:szCs w:val="21"/>
        </w:rPr>
        <w:t>19日发表媒体声明，以最强烈的言辞</w:t>
      </w:r>
      <w:r>
        <w:rPr>
          <w:rFonts w:ascii="宋体" w:hAnsi="宋体"/>
          <w:szCs w:val="21"/>
        </w:rPr>
        <w:fldChar w:fldCharType="begin"/>
      </w:r>
      <w:r>
        <w:rPr>
          <w:rFonts w:ascii="宋体" w:hAnsi="宋体"/>
          <w:szCs w:val="21"/>
        </w:rPr>
        <w:instrText xml:space="preserve"> HYPERLINK "http://baike.baidu.com/view/841465.htm" \t "_blank" </w:instrText>
      </w:r>
      <w:r>
        <w:rPr>
          <w:rFonts w:ascii="宋体" w:hAnsi="宋体"/>
          <w:szCs w:val="21"/>
        </w:rPr>
        <w:fldChar w:fldCharType="separate"/>
      </w:r>
      <w:r>
        <w:rPr>
          <w:rFonts w:ascii="宋体" w:hAnsi="宋体"/>
          <w:szCs w:val="21"/>
        </w:rPr>
        <w:t>谴责</w:t>
      </w:r>
      <w:r>
        <w:rPr>
          <w:rFonts w:ascii="宋体" w:hAnsi="宋体"/>
          <w:szCs w:val="21"/>
        </w:rPr>
        <w:fldChar w:fldCharType="end"/>
      </w:r>
      <w:r>
        <w:rPr>
          <w:rFonts w:ascii="宋体" w:hAnsi="宋体"/>
          <w:szCs w:val="21"/>
        </w:rPr>
        <w:t>极端组织“伊斯兰国”杀害</w:t>
      </w:r>
      <w:r>
        <w:rPr>
          <w:rFonts w:ascii="宋体" w:hAnsi="宋体"/>
          <w:szCs w:val="21"/>
        </w:rPr>
        <w:fldChar w:fldCharType="begin"/>
      </w:r>
      <w:r>
        <w:rPr>
          <w:rFonts w:ascii="宋体" w:hAnsi="宋体"/>
          <w:szCs w:val="21"/>
        </w:rPr>
        <w:instrText xml:space="preserve"> HYPERLINK "http://baike.baidu.com/subview/61891/14022133.htm" \t "_blank" </w:instrText>
      </w:r>
      <w:r>
        <w:rPr>
          <w:rFonts w:ascii="宋体" w:hAnsi="宋体"/>
          <w:szCs w:val="21"/>
        </w:rPr>
        <w:fldChar w:fldCharType="separate"/>
      </w:r>
      <w:r>
        <w:rPr>
          <w:rFonts w:ascii="宋体" w:hAnsi="宋体"/>
          <w:szCs w:val="21"/>
        </w:rPr>
        <w:t>中国</w:t>
      </w:r>
      <w:r>
        <w:rPr>
          <w:rFonts w:ascii="宋体" w:hAnsi="宋体"/>
          <w:szCs w:val="21"/>
        </w:rPr>
        <w:fldChar w:fldCharType="end"/>
      </w:r>
      <w:r>
        <w:rPr>
          <w:rFonts w:ascii="宋体" w:hAnsi="宋体"/>
          <w:szCs w:val="21"/>
        </w:rPr>
        <w:t>及</w:t>
      </w:r>
      <w:r>
        <w:rPr>
          <w:rFonts w:ascii="宋体" w:hAnsi="宋体"/>
          <w:szCs w:val="21"/>
        </w:rPr>
        <w:fldChar w:fldCharType="begin"/>
      </w:r>
      <w:r>
        <w:rPr>
          <w:rFonts w:ascii="宋体" w:hAnsi="宋体"/>
          <w:szCs w:val="21"/>
        </w:rPr>
        <w:instrText xml:space="preserve"> HYPERLINK "http://baike.baidu.com/view/4918.htm" \t "_blank" </w:instrText>
      </w:r>
      <w:r>
        <w:rPr>
          <w:rFonts w:ascii="宋体" w:hAnsi="宋体"/>
          <w:szCs w:val="21"/>
        </w:rPr>
        <w:fldChar w:fldCharType="separate"/>
      </w:r>
      <w:r>
        <w:rPr>
          <w:rFonts w:ascii="宋体" w:hAnsi="宋体"/>
          <w:szCs w:val="21"/>
        </w:rPr>
        <w:t>挪威</w:t>
      </w:r>
      <w:r>
        <w:rPr>
          <w:rFonts w:ascii="宋体" w:hAnsi="宋体"/>
          <w:szCs w:val="21"/>
        </w:rPr>
        <w:fldChar w:fldCharType="end"/>
      </w:r>
      <w:r>
        <w:rPr>
          <w:rFonts w:ascii="宋体" w:hAnsi="宋体"/>
          <w:szCs w:val="21"/>
        </w:rPr>
        <w:t>人质</w:t>
      </w:r>
      <w:r>
        <w:rPr>
          <w:rFonts w:hint="eastAsia" w:ascii="宋体" w:hAnsi="宋体"/>
          <w:szCs w:val="21"/>
        </w:rPr>
        <w:t>的罪恶行径</w:t>
      </w:r>
      <w:r>
        <w:rPr>
          <w:rFonts w:ascii="宋体" w:hAnsi="宋体"/>
          <w:szCs w:val="21"/>
        </w:rPr>
        <w:t>。</w:t>
      </w:r>
      <w:r>
        <w:rPr>
          <w:rStyle w:val="12"/>
          <w:rFonts w:ascii="宋体" w:hAnsi="宋体"/>
          <w:sz w:val="24"/>
        </w:rPr>
        <w:t>[</w:t>
      </w:r>
      <w:r>
        <w:rPr>
          <w:rStyle w:val="12"/>
          <w:rFonts w:ascii="宋体" w:hAnsi="宋体"/>
          <w:sz w:val="24"/>
        </w:rPr>
        <w:footnoteReference w:id="91"/>
      </w:r>
      <w:r>
        <w:rPr>
          <w:rStyle w:val="12"/>
          <w:rFonts w:ascii="宋体" w:hAnsi="宋体"/>
          <w:sz w:val="24"/>
        </w:rPr>
        <w:t>]</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jc w:val="both"/>
        <w:textAlignment w:val="auto"/>
        <w:outlineLvl w:val="9"/>
        <w:rPr>
          <w:rFonts w:hint="eastAsia" w:ascii="宋体" w:hAnsi="宋体"/>
          <w:b/>
          <w:sz w:val="24"/>
        </w:rPr>
      </w:pPr>
      <w:r>
        <w:rPr>
          <w:rFonts w:hint="eastAsia" w:ascii="宋体" w:hAnsi="宋体"/>
          <w:b/>
          <w:sz w:val="24"/>
        </w:rPr>
        <w:t>（九）强征童兵</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目前已有多国展开对ISIS的武装打击行动，且已成功击毙众多</w:t>
      </w:r>
      <w:r>
        <w:rPr>
          <w:rFonts w:ascii="宋体" w:hAnsi="宋体"/>
          <w:szCs w:val="21"/>
        </w:rPr>
        <w:t>“伊斯兰国”武装人员</w:t>
      </w:r>
      <w:r>
        <w:rPr>
          <w:rFonts w:hint="eastAsia" w:ascii="宋体" w:hAnsi="宋体"/>
          <w:szCs w:val="21"/>
        </w:rPr>
        <w:t>，据美国</w:t>
      </w:r>
      <w:r>
        <w:rPr>
          <w:rFonts w:ascii="宋体" w:hAnsi="宋体"/>
          <w:szCs w:val="21"/>
        </w:rPr>
        <w:t>国防部估计，“伊斯兰国”死亡人数</w:t>
      </w:r>
      <w:r>
        <w:rPr>
          <w:rFonts w:hint="eastAsia" w:ascii="宋体" w:hAnsi="宋体"/>
          <w:szCs w:val="21"/>
        </w:rPr>
        <w:t>约</w:t>
      </w:r>
      <w:r>
        <w:rPr>
          <w:rFonts w:ascii="宋体" w:hAnsi="宋体"/>
          <w:szCs w:val="21"/>
        </w:rPr>
        <w:t>在2.3万人至3.3万人之间。美军中央司令部发言人帕特·赖德</w:t>
      </w:r>
      <w:r>
        <w:rPr>
          <w:rFonts w:hint="eastAsia" w:ascii="宋体" w:hAnsi="宋体"/>
          <w:szCs w:val="21"/>
        </w:rPr>
        <w:t>表示</w:t>
      </w:r>
      <w:r>
        <w:rPr>
          <w:rFonts w:ascii="宋体" w:hAnsi="宋体"/>
          <w:szCs w:val="21"/>
        </w:rPr>
        <w:t>，“伊斯兰国”正强征越来越多</w:t>
      </w:r>
      <w:r>
        <w:rPr>
          <w:rFonts w:hint="eastAsia" w:ascii="宋体" w:hAnsi="宋体"/>
          <w:szCs w:val="21"/>
        </w:rPr>
        <w:t>的</w:t>
      </w:r>
      <w:r>
        <w:rPr>
          <w:rFonts w:ascii="宋体" w:hAnsi="宋体"/>
          <w:szCs w:val="21"/>
        </w:rPr>
        <w:t>童兵</w:t>
      </w:r>
      <w:r>
        <w:rPr>
          <w:rFonts w:hint="eastAsia" w:ascii="宋体" w:hAnsi="宋体"/>
          <w:szCs w:val="21"/>
        </w:rPr>
        <w:t>以弥补</w:t>
      </w:r>
      <w:r>
        <w:rPr>
          <w:rFonts w:ascii="宋体" w:hAnsi="宋体"/>
          <w:szCs w:val="21"/>
        </w:rPr>
        <w:t>死伤空缺</w:t>
      </w:r>
      <w:r>
        <w:rPr>
          <w:rFonts w:hint="eastAsia" w:ascii="宋体" w:hAnsi="宋体"/>
          <w:szCs w:val="21"/>
        </w:rPr>
        <w:t>。</w:t>
      </w:r>
      <w:r>
        <w:rPr>
          <w:rStyle w:val="12"/>
          <w:rFonts w:ascii="宋体" w:hAnsi="宋体"/>
          <w:sz w:val="24"/>
        </w:rPr>
        <w:t>[</w:t>
      </w:r>
      <w:r>
        <w:rPr>
          <w:rStyle w:val="12"/>
          <w:rFonts w:ascii="宋体" w:hAnsi="宋体"/>
          <w:sz w:val="24"/>
        </w:rPr>
        <w:footnoteReference w:id="92"/>
      </w:r>
      <w:r>
        <w:rPr>
          <w:rStyle w:val="12"/>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24" w:lineRule="atLeas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ISIS的种种反人类、灭绝人性的残暴罪行已经激起了世界各国的愤怒，面对恐怖势力，没有任何一个国家会畏惧退缩、一味忍让。</w:t>
      </w:r>
    </w:p>
    <w:p>
      <w:pPr>
        <w:keepNext w:val="0"/>
        <w:keepLines w:val="0"/>
        <w:pageBreakBefore w:val="0"/>
        <w:widowControl w:val="0"/>
        <w:kinsoku/>
        <w:wordWrap/>
        <w:overflowPunct/>
        <w:topLinePunct w:val="0"/>
        <w:autoSpaceDE/>
        <w:autoSpaceDN/>
        <w:bidi w:val="0"/>
        <w:adjustRightInd w:val="0"/>
        <w:snapToGrid w:val="0"/>
        <w:spacing w:before="156" w:beforeLines="50" w:line="240" w:lineRule="auto"/>
        <w:jc w:val="center"/>
        <w:textAlignment w:val="auto"/>
        <w:outlineLvl w:val="9"/>
        <w:rPr>
          <w:rFonts w:hint="eastAsia" w:ascii="黑体" w:hAnsi="黑体" w:eastAsia="黑体" w:cs="黑体"/>
          <w:b/>
          <w:sz w:val="21"/>
          <w:szCs w:val="21"/>
        </w:rPr>
      </w:pPr>
    </w:p>
    <w:p>
      <w:pPr>
        <w:keepNext w:val="0"/>
        <w:keepLines w:val="0"/>
        <w:pageBreakBefore w:val="0"/>
        <w:widowControl w:val="0"/>
        <w:kinsoku/>
        <w:wordWrap/>
        <w:overflowPunct/>
        <w:topLinePunct w:val="0"/>
        <w:autoSpaceDE/>
        <w:autoSpaceDN/>
        <w:bidi w:val="0"/>
        <w:adjustRightInd w:val="0"/>
        <w:snapToGrid w:val="0"/>
        <w:spacing w:before="157" w:beforeLines="50" w:line="288" w:lineRule="auto"/>
        <w:ind w:left="0" w:leftChars="0" w:right="0" w:rightChars="0" w:firstLine="0" w:firstLineChars="0"/>
        <w:jc w:val="center"/>
        <w:textAlignment w:val="auto"/>
        <w:outlineLvl w:val="9"/>
        <w:rPr>
          <w:rFonts w:hint="eastAsia" w:ascii="宋体" w:hAnsi="宋体"/>
          <w:szCs w:val="21"/>
        </w:rPr>
      </w:pPr>
      <w:r>
        <w:rPr>
          <w:rFonts w:hint="eastAsia" w:ascii="黑体" w:hAnsi="黑体" w:eastAsia="黑体" w:cs="黑体"/>
          <w:b/>
          <w:sz w:val="28"/>
          <w:szCs w:val="28"/>
        </w:rPr>
        <w:t>四、各国的立场态度和做法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2015年11月13日ISIS针对巴黎发动的恐怖袭击震惊了全球。ISIS的此次疯狂袭击不仅使得法国乃至整个欧洲意识到恐怖主义威胁迫在眉睫的严重性，也将打击和遏制恐怖主义的议题摆在了联合国的会议桌上。各国开始纷纷审视本国境内外的安全问题并致力于寻求合作和互助，共同应对以ISIS为首的恐怖主义所带来的全球安全威胁。</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宋体" w:hAnsi="宋体"/>
          <w:b/>
          <w:sz w:val="24"/>
        </w:rPr>
      </w:pPr>
      <w:r>
        <w:rPr>
          <w:rFonts w:hint="eastAsia" w:ascii="宋体" w:hAnsi="宋体"/>
          <w:b/>
          <w:sz w:val="24"/>
        </w:rPr>
        <w:t>（一）法国</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在刚刚遭受过IS恐怖袭击的法国，没能及时预测到恐袭的发生并进行拦截引起了法国当局的反思，也使其意识到法国当前安全形势存在的巨大漏洞。因为伊斯兰教是法国的第二大宗教，穆斯林人口众多，相关各种政策倘若稍有不妥便会造成巨大隐患。一来，倘若不能使法国境内的穆斯林拥有合理的经济条件和社会地位，失业率高和生活状况差的窘境就会激发他们宗教化的极端思想苗头，为恐怖主义扎根法国土壤提供契机。二来，法国和欧洲对于当前接收来自中东的难民的问题也将做进一步的慎重考虑。欧盟各国对难民政策本就存在分歧，以德国为首的国家想更多接收部分难民，却遭到部分国家的反对。在欧洲经济不景气的大形势下，一些国家本就出于财政负担、安全等因素的考量而不愿意接收难民，加之此次对恐袭事件的初步调查结果显示，这些恐怖分子当中的确有人是以难民身份混进来的，这就更加坚定了反对接收难民的国家的选择。</w:t>
      </w:r>
      <w:r>
        <w:rPr>
          <w:rStyle w:val="12"/>
          <w:rFonts w:ascii="宋体" w:hAnsi="宋体"/>
          <w:sz w:val="24"/>
        </w:rPr>
        <w:t>[</w:t>
      </w:r>
      <w:r>
        <w:rPr>
          <w:rStyle w:val="12"/>
          <w:rFonts w:ascii="宋体" w:hAnsi="宋体"/>
          <w:sz w:val="24"/>
        </w:rPr>
        <w:footnoteReference w:id="93"/>
      </w:r>
      <w:r>
        <w:rPr>
          <w:rStyle w:val="12"/>
          <w:rFonts w:ascii="宋体" w:hAnsi="宋体"/>
          <w:sz w:val="24"/>
        </w:rPr>
        <w:t>]</w:t>
      </w:r>
      <w:r>
        <w:rPr>
          <w:rFonts w:hint="eastAsia" w:ascii="宋体" w:hAnsi="宋体"/>
          <w:szCs w:val="21"/>
        </w:rPr>
        <w:t>如此一来，欧洲国家势必会以全新的视角来考虑难民的相关问题。</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另外，未来欧洲的长期移民政策也将受到影响。由于欧洲的大量移民主要来自于中东地区，移民问题就很可能成为恐怖分子混杂入境的一大缺口。未来欧洲各国对于移民的相关法律法规、社会关系和个人背景的审查等都将更加慎重，相关体制也有待于进一步完善。</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此前，法国等欧盟国家曾多次向ISIS交付赎金以换回人质，然而此次袭击也令他们意识到一味忍让并非长久之计，妥协只会令恐怖分子更加猖狂。</w:t>
      </w:r>
      <w:r>
        <w:rPr>
          <w:rFonts w:ascii="宋体" w:hAnsi="宋体"/>
          <w:szCs w:val="21"/>
        </w:rPr>
        <w:t>2014年9月19日，法国</w:t>
      </w:r>
      <w:r>
        <w:rPr>
          <w:rFonts w:hint="eastAsia" w:ascii="宋体" w:hAnsi="宋体"/>
          <w:szCs w:val="21"/>
        </w:rPr>
        <w:t>就已确定</w:t>
      </w:r>
      <w:r>
        <w:rPr>
          <w:rFonts w:ascii="宋体" w:hAnsi="宋体"/>
          <w:szCs w:val="21"/>
        </w:rPr>
        <w:t>加入美国空袭伊拉克境内IS</w:t>
      </w:r>
      <w:r>
        <w:rPr>
          <w:rFonts w:hint="eastAsia" w:ascii="宋体" w:hAnsi="宋体"/>
          <w:szCs w:val="21"/>
        </w:rPr>
        <w:t>IS的行动</w:t>
      </w:r>
      <w:r>
        <w:rPr>
          <w:rFonts w:ascii="宋体" w:hAnsi="宋体"/>
          <w:szCs w:val="21"/>
        </w:rPr>
        <w:t>。</w:t>
      </w:r>
      <w:r>
        <w:rPr>
          <w:rFonts w:hint="eastAsia" w:ascii="宋体" w:hAnsi="宋体"/>
          <w:szCs w:val="21"/>
        </w:rPr>
        <w:t>2015年11月18日，法国“戴高乐”号核动力航母也启程前往地中海东部地区，准备加入打击叙利亚境内ISIS势力的军事行动。航母到达指定地点后将大幅度提高法国对“伊斯兰国”的打击能力。美军“杜鲁门”号核动力航母及4艘护卫舰也将前往地中海海域，与“戴高乐”号航母会合之后共同参与打击叙境内的“伊斯兰国”极端分子。</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宋体" w:hAnsi="宋体"/>
          <w:b/>
          <w:sz w:val="24"/>
        </w:rPr>
      </w:pPr>
      <w:r>
        <w:rPr>
          <w:rFonts w:hint="eastAsia" w:ascii="宋体" w:hAnsi="宋体"/>
          <w:b/>
          <w:sz w:val="24"/>
        </w:rPr>
        <w:t>（二）美国</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ascii="宋体" w:hAnsi="宋体"/>
          <w:szCs w:val="21"/>
        </w:rPr>
      </w:pPr>
      <w:r>
        <w:rPr>
          <w:rFonts w:hint="eastAsia" w:ascii="宋体" w:hAnsi="宋体"/>
          <w:szCs w:val="21"/>
        </w:rPr>
        <w:t>早在2014年，美国就已多次派出空军</w:t>
      </w:r>
      <w:r>
        <w:rPr>
          <w:rFonts w:ascii="宋体" w:hAnsi="宋体"/>
          <w:szCs w:val="21"/>
        </w:rPr>
        <w:t>空袭伊拉克</w:t>
      </w:r>
      <w:r>
        <w:rPr>
          <w:rFonts w:hint="eastAsia" w:ascii="宋体" w:hAnsi="宋体"/>
          <w:szCs w:val="21"/>
        </w:rPr>
        <w:t>及</w:t>
      </w:r>
      <w:r>
        <w:rPr>
          <w:rFonts w:ascii="宋体" w:hAnsi="宋体"/>
          <w:szCs w:val="21"/>
        </w:rPr>
        <w:t>叙利亚境内</w:t>
      </w:r>
      <w:r>
        <w:rPr>
          <w:rFonts w:hint="eastAsia" w:ascii="宋体" w:hAnsi="宋体"/>
          <w:szCs w:val="21"/>
        </w:rPr>
        <w:t>的</w:t>
      </w:r>
      <w:r>
        <w:rPr>
          <w:rFonts w:ascii="宋体" w:hAnsi="宋体"/>
          <w:szCs w:val="21"/>
        </w:rPr>
        <w:t xml:space="preserve">IS极端组织。 </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ascii="宋体" w:hAnsi="宋体"/>
          <w:szCs w:val="21"/>
        </w:rPr>
      </w:pPr>
      <w:r>
        <w:rPr>
          <w:rFonts w:ascii="宋体" w:hAnsi="宋体"/>
          <w:szCs w:val="21"/>
        </w:rPr>
        <w:t>2014年10月20日，美国集结全部空中武装力量打击叙利亚边境Kobane附近的IS。</w:t>
      </w:r>
      <w:r>
        <w:rPr>
          <w:rFonts w:hint="eastAsia" w:ascii="宋体" w:hAnsi="宋体"/>
          <w:szCs w:val="21"/>
        </w:rPr>
        <w:t>与此</w:t>
      </w:r>
      <w:r>
        <w:rPr>
          <w:rFonts w:ascii="宋体" w:hAnsi="宋体"/>
          <w:szCs w:val="21"/>
        </w:rPr>
        <w:t>同时，</w:t>
      </w:r>
      <w:r>
        <w:rPr>
          <w:rFonts w:ascii="宋体" w:hAnsi="宋体"/>
          <w:szCs w:val="21"/>
        </w:rPr>
        <w:fldChar w:fldCharType="begin"/>
      </w:r>
      <w:r>
        <w:rPr>
          <w:rFonts w:ascii="宋体" w:hAnsi="宋体"/>
          <w:szCs w:val="21"/>
        </w:rPr>
        <w:instrText xml:space="preserve"> HYPERLINK "http://baike.baidu.com/view/6785.htm" \t "_blank" </w:instrText>
      </w:r>
      <w:r>
        <w:rPr>
          <w:rFonts w:ascii="宋体" w:hAnsi="宋体"/>
          <w:szCs w:val="21"/>
        </w:rPr>
        <w:fldChar w:fldCharType="separate"/>
      </w:r>
      <w:r>
        <w:rPr>
          <w:rFonts w:ascii="宋体" w:hAnsi="宋体"/>
          <w:szCs w:val="21"/>
        </w:rPr>
        <w:t>土耳其</w:t>
      </w:r>
      <w:r>
        <w:rPr>
          <w:rFonts w:ascii="宋体" w:hAnsi="宋体"/>
          <w:szCs w:val="21"/>
        </w:rPr>
        <w:fldChar w:fldCharType="end"/>
      </w:r>
      <w:r>
        <w:rPr>
          <w:rFonts w:ascii="宋体" w:hAnsi="宋体"/>
          <w:szCs w:val="21"/>
        </w:rPr>
        <w:t>宣布将开放边境，允许</w:t>
      </w:r>
      <w:r>
        <w:rPr>
          <w:rFonts w:ascii="宋体" w:hAnsi="宋体"/>
          <w:szCs w:val="21"/>
        </w:rPr>
        <w:fldChar w:fldCharType="begin"/>
      </w:r>
      <w:r>
        <w:rPr>
          <w:rFonts w:ascii="宋体" w:hAnsi="宋体"/>
          <w:szCs w:val="21"/>
        </w:rPr>
        <w:instrText xml:space="preserve"> HYPERLINK "http://baike.baidu.com/view/229347.htm" \t "_blank" </w:instrText>
      </w:r>
      <w:r>
        <w:rPr>
          <w:rFonts w:ascii="宋体" w:hAnsi="宋体"/>
          <w:szCs w:val="21"/>
        </w:rPr>
        <w:fldChar w:fldCharType="separate"/>
      </w:r>
      <w:r>
        <w:rPr>
          <w:rFonts w:ascii="宋体" w:hAnsi="宋体"/>
          <w:szCs w:val="21"/>
        </w:rPr>
        <w:t>库尔德</w:t>
      </w:r>
      <w:r>
        <w:rPr>
          <w:rFonts w:ascii="宋体" w:hAnsi="宋体"/>
          <w:szCs w:val="21"/>
        </w:rPr>
        <w:fldChar w:fldCharType="end"/>
      </w:r>
      <w:r>
        <w:rPr>
          <w:rFonts w:ascii="宋体" w:hAnsi="宋体"/>
          <w:szCs w:val="21"/>
        </w:rPr>
        <w:t>武装分子进入Kobane对抗IS。美军</w:t>
      </w:r>
      <w:r>
        <w:rPr>
          <w:rFonts w:hint="eastAsia" w:ascii="宋体" w:hAnsi="宋体"/>
          <w:szCs w:val="21"/>
        </w:rPr>
        <w:t>还</w:t>
      </w:r>
      <w:r>
        <w:rPr>
          <w:rFonts w:ascii="宋体" w:hAnsi="宋体"/>
          <w:szCs w:val="21"/>
        </w:rPr>
        <w:t>曾于当地时间19日向库尔德人空投物资助其抗击ISIS。</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ascii="宋体" w:hAnsi="宋体"/>
          <w:szCs w:val="21"/>
        </w:rPr>
      </w:pPr>
      <w:r>
        <w:rPr>
          <w:rFonts w:ascii="宋体" w:hAnsi="宋体"/>
          <w:szCs w:val="21"/>
        </w:rPr>
        <w:t>2014年11月6日夜间，由美国领导的反IS同盟</w:t>
      </w:r>
      <w:r>
        <w:rPr>
          <w:rFonts w:hint="eastAsia" w:ascii="宋体" w:hAnsi="宋体"/>
          <w:szCs w:val="21"/>
        </w:rPr>
        <w:t>针对</w:t>
      </w:r>
      <w:r>
        <w:rPr>
          <w:rFonts w:ascii="宋体" w:hAnsi="宋体"/>
          <w:szCs w:val="21"/>
        </w:rPr>
        <w:t>叙利亚西北部</w:t>
      </w:r>
      <w:r>
        <w:rPr>
          <w:rFonts w:ascii="宋体" w:hAnsi="宋体"/>
          <w:szCs w:val="21"/>
        </w:rPr>
        <w:fldChar w:fldCharType="begin"/>
      </w:r>
      <w:r>
        <w:rPr>
          <w:rFonts w:ascii="宋体" w:hAnsi="宋体"/>
          <w:szCs w:val="21"/>
        </w:rPr>
        <w:instrText xml:space="preserve"> HYPERLINK "http://baike.baidu.com/view/778981.htm" \t "_blank" </w:instrText>
      </w:r>
      <w:r>
        <w:rPr>
          <w:rFonts w:ascii="宋体" w:hAnsi="宋体"/>
          <w:szCs w:val="21"/>
        </w:rPr>
        <w:fldChar w:fldCharType="separate"/>
      </w:r>
      <w:r>
        <w:rPr>
          <w:rFonts w:ascii="宋体" w:hAnsi="宋体"/>
          <w:szCs w:val="21"/>
        </w:rPr>
        <w:t>伊德利卜</w:t>
      </w:r>
      <w:r>
        <w:rPr>
          <w:rFonts w:ascii="宋体" w:hAnsi="宋体"/>
          <w:szCs w:val="21"/>
        </w:rPr>
        <w:fldChar w:fldCharType="end"/>
      </w:r>
      <w:r>
        <w:rPr>
          <w:rFonts w:ascii="宋体" w:hAnsi="宋体"/>
          <w:szCs w:val="21"/>
        </w:rPr>
        <w:t>省(Idlib)的“基地组织”分支“</w:t>
      </w:r>
      <w:r>
        <w:rPr>
          <w:rFonts w:ascii="宋体" w:hAnsi="宋体"/>
          <w:szCs w:val="21"/>
        </w:rPr>
        <w:fldChar w:fldCharType="begin"/>
      </w:r>
      <w:r>
        <w:rPr>
          <w:rFonts w:ascii="宋体" w:hAnsi="宋体"/>
          <w:szCs w:val="21"/>
        </w:rPr>
        <w:instrText xml:space="preserve"> HYPERLINK "http://baike.baidu.com/view/13036910.htm" \t "_blank" </w:instrText>
      </w:r>
      <w:r>
        <w:rPr>
          <w:rFonts w:ascii="宋体" w:hAnsi="宋体"/>
          <w:szCs w:val="21"/>
        </w:rPr>
        <w:fldChar w:fldCharType="separate"/>
      </w:r>
      <w:r>
        <w:rPr>
          <w:rFonts w:ascii="宋体" w:hAnsi="宋体"/>
          <w:szCs w:val="21"/>
        </w:rPr>
        <w:t>努斯拉阵线</w:t>
      </w:r>
      <w:r>
        <w:rPr>
          <w:rFonts w:ascii="宋体" w:hAnsi="宋体"/>
          <w:szCs w:val="21"/>
        </w:rPr>
        <w:fldChar w:fldCharType="end"/>
      </w:r>
      <w:r>
        <w:rPr>
          <w:rFonts w:ascii="宋体" w:hAnsi="宋体"/>
          <w:szCs w:val="21"/>
        </w:rPr>
        <w:t>”发动了数轮空袭，其中一次针对北部城市</w:t>
      </w:r>
      <w:r>
        <w:rPr>
          <w:rFonts w:ascii="宋体" w:hAnsi="宋体"/>
          <w:szCs w:val="21"/>
        </w:rPr>
        <w:fldChar w:fldCharType="begin"/>
      </w:r>
      <w:r>
        <w:rPr>
          <w:rFonts w:ascii="宋体" w:hAnsi="宋体"/>
          <w:szCs w:val="21"/>
        </w:rPr>
        <w:instrText xml:space="preserve"> HYPERLINK "http://baike.baidu.com/view/91996.htm" \t "_blank" </w:instrText>
      </w:r>
      <w:r>
        <w:rPr>
          <w:rFonts w:ascii="宋体" w:hAnsi="宋体"/>
          <w:szCs w:val="21"/>
        </w:rPr>
        <w:fldChar w:fldCharType="separate"/>
      </w:r>
      <w:r>
        <w:rPr>
          <w:rFonts w:ascii="宋体" w:hAnsi="宋体"/>
          <w:szCs w:val="21"/>
        </w:rPr>
        <w:t>阿勒颇</w:t>
      </w:r>
      <w:r>
        <w:rPr>
          <w:rFonts w:ascii="宋体" w:hAnsi="宋体"/>
          <w:szCs w:val="21"/>
        </w:rPr>
        <w:fldChar w:fldCharType="end"/>
      </w:r>
      <w:r>
        <w:rPr>
          <w:rFonts w:ascii="宋体" w:hAnsi="宋体"/>
          <w:szCs w:val="21"/>
        </w:rPr>
        <w:t>附近一军事基地的袭击造成了至少6名武装分子死亡</w:t>
      </w:r>
      <w:r>
        <w:rPr>
          <w:rFonts w:hint="eastAsia" w:ascii="宋体" w:hAnsi="宋体"/>
          <w:szCs w:val="21"/>
        </w:rPr>
        <w:t>，</w:t>
      </w:r>
      <w:r>
        <w:rPr>
          <w:rFonts w:ascii="宋体" w:hAnsi="宋体"/>
          <w:szCs w:val="21"/>
        </w:rPr>
        <w:t>满载弹药的“努斯拉阵线”车队</w:t>
      </w:r>
      <w:r>
        <w:rPr>
          <w:rFonts w:hint="eastAsia" w:ascii="宋体" w:hAnsi="宋体"/>
          <w:szCs w:val="21"/>
        </w:rPr>
        <w:t>也</w:t>
      </w:r>
      <w:r>
        <w:rPr>
          <w:rFonts w:ascii="宋体" w:hAnsi="宋体"/>
          <w:szCs w:val="21"/>
        </w:rPr>
        <w:t>在空袭中被炸毁。</w:t>
      </w:r>
      <w:r>
        <w:rPr>
          <w:rStyle w:val="12"/>
          <w:rFonts w:ascii="宋体" w:hAnsi="宋体"/>
          <w:sz w:val="24"/>
        </w:rPr>
        <w:t>[</w:t>
      </w:r>
      <w:r>
        <w:rPr>
          <w:rStyle w:val="12"/>
          <w:rFonts w:ascii="宋体" w:hAnsi="宋体"/>
          <w:sz w:val="24"/>
        </w:rPr>
        <w:footnoteReference w:id="94"/>
      </w:r>
      <w:r>
        <w:rPr>
          <w:rStyle w:val="12"/>
          <w:rFonts w:ascii="宋体" w:hAnsi="宋体"/>
          <w:sz w:val="24"/>
        </w:rPr>
        <w:t>]</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ascii="宋体" w:hAnsi="宋体"/>
          <w:szCs w:val="21"/>
        </w:rPr>
      </w:pPr>
      <w:r>
        <w:rPr>
          <w:rFonts w:ascii="宋体" w:hAnsi="宋体"/>
          <w:szCs w:val="21"/>
        </w:rPr>
        <w:t>2014年11月11日，约50人的美军顾问小组进入伊拉克西部的安巴尔省，以协助伊政府打击“伊斯兰国”极端组织。这是美国计划向该地区派遣军事人员</w:t>
      </w:r>
      <w:r>
        <w:rPr>
          <w:rFonts w:hint="eastAsia" w:ascii="宋体" w:hAnsi="宋体"/>
          <w:szCs w:val="21"/>
        </w:rPr>
        <w:t>中</w:t>
      </w:r>
      <w:r>
        <w:rPr>
          <w:rFonts w:ascii="宋体" w:hAnsi="宋体"/>
          <w:szCs w:val="21"/>
        </w:rPr>
        <w:t>的首支军事小组。</w:t>
      </w:r>
      <w:r>
        <w:rPr>
          <w:rStyle w:val="12"/>
          <w:rFonts w:ascii="宋体" w:hAnsi="宋体"/>
          <w:sz w:val="24"/>
        </w:rPr>
        <w:t>[</w:t>
      </w:r>
      <w:r>
        <w:rPr>
          <w:rStyle w:val="12"/>
          <w:rFonts w:ascii="宋体" w:hAnsi="宋体"/>
          <w:sz w:val="24"/>
        </w:rPr>
        <w:footnoteReference w:id="95"/>
      </w:r>
      <w:r>
        <w:rPr>
          <w:rStyle w:val="12"/>
          <w:rFonts w:ascii="宋体" w:hAnsi="宋体"/>
          <w:sz w:val="24"/>
        </w:rPr>
        <w:t>]</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在2015年11月13日的巴黎恐怖袭击事件发生后，美国</w:t>
      </w:r>
      <w:r>
        <w:rPr>
          <w:rFonts w:ascii="宋体" w:hAnsi="宋体"/>
          <w:szCs w:val="21"/>
        </w:rPr>
        <w:t>总统奥巴马表示，</w:t>
      </w:r>
      <w:r>
        <w:rPr>
          <w:rFonts w:hint="eastAsia" w:ascii="宋体" w:hAnsi="宋体"/>
          <w:szCs w:val="21"/>
        </w:rPr>
        <w:t>ISIS在巴黎</w:t>
      </w:r>
      <w:r>
        <w:rPr>
          <w:rFonts w:ascii="宋体" w:hAnsi="宋体"/>
          <w:szCs w:val="21"/>
        </w:rPr>
        <w:t>所</w:t>
      </w:r>
      <w:r>
        <w:rPr>
          <w:rFonts w:hint="eastAsia" w:ascii="宋体" w:hAnsi="宋体"/>
          <w:szCs w:val="21"/>
        </w:rPr>
        <w:t>制造</w:t>
      </w:r>
      <w:r>
        <w:rPr>
          <w:rFonts w:ascii="宋体" w:hAnsi="宋体"/>
          <w:szCs w:val="21"/>
        </w:rPr>
        <w:t>的一切企图恐吓无辜平民的暴行</w:t>
      </w:r>
      <w:r>
        <w:rPr>
          <w:rFonts w:hint="eastAsia" w:ascii="宋体" w:hAnsi="宋体"/>
          <w:szCs w:val="21"/>
        </w:rPr>
        <w:t>，</w:t>
      </w:r>
      <w:r>
        <w:rPr>
          <w:rFonts w:ascii="宋体" w:hAnsi="宋体"/>
          <w:szCs w:val="21"/>
        </w:rPr>
        <w:t>不仅是对巴黎</w:t>
      </w:r>
      <w:r>
        <w:rPr>
          <w:rFonts w:hint="eastAsia" w:ascii="宋体" w:hAnsi="宋体"/>
          <w:szCs w:val="21"/>
        </w:rPr>
        <w:t>乃至整个法国</w:t>
      </w:r>
      <w:r>
        <w:rPr>
          <w:rFonts w:ascii="宋体" w:hAnsi="宋体"/>
          <w:szCs w:val="21"/>
        </w:rPr>
        <w:t>的袭击</w:t>
      </w:r>
      <w:r>
        <w:rPr>
          <w:rFonts w:hint="eastAsia" w:ascii="宋体" w:hAnsi="宋体"/>
          <w:szCs w:val="21"/>
        </w:rPr>
        <w:t>，也</w:t>
      </w:r>
      <w:r>
        <w:rPr>
          <w:rFonts w:ascii="宋体" w:hAnsi="宋体"/>
          <w:szCs w:val="21"/>
        </w:rPr>
        <w:t>是</w:t>
      </w:r>
      <w:r>
        <w:rPr>
          <w:rFonts w:hint="eastAsia" w:ascii="宋体" w:hAnsi="宋体"/>
          <w:szCs w:val="21"/>
        </w:rPr>
        <w:t>对</w:t>
      </w:r>
      <w:r>
        <w:rPr>
          <w:rFonts w:ascii="宋体" w:hAnsi="宋体"/>
          <w:szCs w:val="21"/>
        </w:rPr>
        <w:t>全人类和人类价值观的袭击。奥巴马称，美国已准备好向法国政府和民众提供任何必要的援助</w:t>
      </w:r>
      <w:r>
        <w:rPr>
          <w:rFonts w:hint="eastAsia" w:ascii="宋体" w:hAnsi="宋体"/>
          <w:szCs w:val="21"/>
        </w:rPr>
        <w:t>。另外，他还在二十国集团安塔利亚峰会闭幕后，重申了美方削弱并最终摧毁“伊斯兰国”的目标，但排除增派美军部队参与打击该组织的可能。同时，他还表示美国正致力于简化与法国共享情报和军事行动信息的程序，以便“更快速和更频繁地”向法方传递包括与“伊斯兰国”相关的带有威胁性的信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宋体" w:hAnsi="宋体"/>
          <w:b/>
          <w:sz w:val="24"/>
        </w:rPr>
      </w:pPr>
      <w:r>
        <w:rPr>
          <w:rFonts w:hint="eastAsia" w:ascii="宋体" w:hAnsi="宋体"/>
          <w:b/>
          <w:sz w:val="24"/>
        </w:rPr>
        <w:t>（三）俄罗斯</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俄罗斯也早已加入打击ISIS的军事行动。据新华网报道，俄罗斯国防部长绍伊古</w:t>
      </w:r>
      <w:r>
        <w:rPr>
          <w:rFonts w:ascii="宋体" w:hAnsi="宋体"/>
          <w:szCs w:val="21"/>
        </w:rPr>
        <w:t>2015年</w:t>
      </w:r>
      <w:r>
        <w:rPr>
          <w:rFonts w:hint="eastAsia" w:ascii="宋体" w:hAnsi="宋体"/>
          <w:szCs w:val="21"/>
        </w:rPr>
        <w:t>11月17日宣布，俄方决定动用远程战略轰炸机，从本土起飞参与叙利亚空袭行动，并计划将空袭强度增加为原来的两倍。</w:t>
      </w:r>
      <w:r>
        <w:rPr>
          <w:rFonts w:ascii="宋体" w:hAnsi="宋体"/>
          <w:szCs w:val="21"/>
        </w:rPr>
        <w:t>11月19日，</w:t>
      </w:r>
      <w:r>
        <w:rPr>
          <w:rFonts w:ascii="宋体" w:hAnsi="宋体"/>
          <w:szCs w:val="21"/>
        </w:rPr>
        <w:fldChar w:fldCharType="begin"/>
      </w:r>
      <w:r>
        <w:rPr>
          <w:rFonts w:ascii="宋体" w:hAnsi="宋体"/>
          <w:szCs w:val="21"/>
        </w:rPr>
        <w:instrText xml:space="preserve"> HYPERLINK "http://baike.baidu.com/subview/2403/14453555.htm" \t "_blank" </w:instrText>
      </w:r>
      <w:r>
        <w:rPr>
          <w:rFonts w:ascii="宋体" w:hAnsi="宋体"/>
          <w:szCs w:val="21"/>
        </w:rPr>
        <w:fldChar w:fldCharType="separate"/>
      </w:r>
      <w:r>
        <w:rPr>
          <w:rFonts w:ascii="宋体" w:hAnsi="宋体"/>
          <w:szCs w:val="21"/>
        </w:rPr>
        <w:t>俄罗斯</w:t>
      </w:r>
      <w:r>
        <w:rPr>
          <w:rFonts w:ascii="宋体" w:hAnsi="宋体"/>
          <w:szCs w:val="21"/>
        </w:rPr>
        <w:fldChar w:fldCharType="end"/>
      </w:r>
      <w:r>
        <w:rPr>
          <w:rFonts w:ascii="宋体" w:hAnsi="宋体"/>
          <w:szCs w:val="21"/>
        </w:rPr>
        <w:t>外交部反恐副部长奥列格·瑟罗莫洛托夫表示，有2719名俄罗斯公民从俄罗斯进入叙利亚，</w:t>
      </w:r>
      <w:r>
        <w:rPr>
          <w:rFonts w:hint="eastAsia" w:ascii="宋体" w:hAnsi="宋体"/>
          <w:szCs w:val="21"/>
        </w:rPr>
        <w:t>其中</w:t>
      </w:r>
      <w:r>
        <w:rPr>
          <w:rFonts w:ascii="宋体" w:hAnsi="宋体"/>
          <w:szCs w:val="21"/>
        </w:rPr>
        <w:t>160人已被消灭，73人被</w:t>
      </w:r>
      <w:r>
        <w:rPr>
          <w:rFonts w:ascii="宋体" w:hAnsi="宋体"/>
          <w:szCs w:val="21"/>
        </w:rPr>
        <w:fldChar w:fldCharType="begin"/>
      </w:r>
      <w:r>
        <w:rPr>
          <w:rFonts w:ascii="宋体" w:hAnsi="宋体"/>
          <w:szCs w:val="21"/>
        </w:rPr>
        <w:instrText xml:space="preserve"> HYPERLINK "http://baike.baidu.com/subview/926440/15944576.htm" \t "_blank" </w:instrText>
      </w:r>
      <w:r>
        <w:rPr>
          <w:rFonts w:ascii="宋体" w:hAnsi="宋体"/>
          <w:szCs w:val="21"/>
        </w:rPr>
        <w:fldChar w:fldCharType="separate"/>
      </w:r>
      <w:r>
        <w:rPr>
          <w:rFonts w:ascii="宋体" w:hAnsi="宋体"/>
          <w:szCs w:val="21"/>
        </w:rPr>
        <w:t>遣返</w:t>
      </w:r>
      <w:r>
        <w:rPr>
          <w:rFonts w:ascii="宋体" w:hAnsi="宋体"/>
          <w:szCs w:val="21"/>
        </w:rPr>
        <w:fldChar w:fldCharType="end"/>
      </w:r>
      <w:r>
        <w:rPr>
          <w:rFonts w:ascii="宋体" w:hAnsi="宋体"/>
          <w:szCs w:val="21"/>
        </w:rPr>
        <w:t>并被定罪，还有36人被捕。12月3日，俄罗斯</w:t>
      </w:r>
      <w:r>
        <w:rPr>
          <w:rFonts w:ascii="宋体" w:hAnsi="宋体"/>
          <w:szCs w:val="21"/>
        </w:rPr>
        <w:fldChar w:fldCharType="begin"/>
      </w:r>
      <w:r>
        <w:rPr>
          <w:rFonts w:ascii="宋体" w:hAnsi="宋体"/>
          <w:szCs w:val="21"/>
        </w:rPr>
        <w:instrText xml:space="preserve"> HYPERLINK "http://baike.baidu.com/view/331257.htm" \t "_blank" </w:instrText>
      </w:r>
      <w:r>
        <w:rPr>
          <w:rFonts w:ascii="宋体" w:hAnsi="宋体"/>
          <w:szCs w:val="21"/>
        </w:rPr>
        <w:fldChar w:fldCharType="separate"/>
      </w:r>
      <w:r>
        <w:rPr>
          <w:rFonts w:ascii="宋体" w:hAnsi="宋体"/>
          <w:szCs w:val="21"/>
        </w:rPr>
        <w:t>苏-34</w:t>
      </w:r>
      <w:r>
        <w:rPr>
          <w:rFonts w:ascii="宋体" w:hAnsi="宋体"/>
          <w:szCs w:val="21"/>
        </w:rPr>
        <w:fldChar w:fldCharType="end"/>
      </w:r>
      <w:r>
        <w:rPr>
          <w:rFonts w:ascii="宋体" w:hAnsi="宋体"/>
          <w:szCs w:val="21"/>
        </w:rPr>
        <w:t>轰炸机就对</w:t>
      </w:r>
      <w:r>
        <w:rPr>
          <w:rFonts w:ascii="宋体" w:hAnsi="宋体"/>
          <w:szCs w:val="21"/>
        </w:rPr>
        <w:fldChar w:fldCharType="begin"/>
      </w:r>
      <w:r>
        <w:rPr>
          <w:rFonts w:ascii="宋体" w:hAnsi="宋体"/>
          <w:szCs w:val="21"/>
        </w:rPr>
        <w:instrText xml:space="preserve"> HYPERLINK "http://baike.baidu.com/view/91996.htm" \t "_blank" </w:instrText>
      </w:r>
      <w:r>
        <w:rPr>
          <w:rFonts w:ascii="宋体" w:hAnsi="宋体"/>
          <w:szCs w:val="21"/>
        </w:rPr>
        <w:fldChar w:fldCharType="separate"/>
      </w:r>
      <w:r>
        <w:rPr>
          <w:rFonts w:ascii="宋体" w:hAnsi="宋体"/>
          <w:szCs w:val="21"/>
        </w:rPr>
        <w:t>阿勒颇</w:t>
      </w:r>
      <w:r>
        <w:rPr>
          <w:rFonts w:ascii="宋体" w:hAnsi="宋体"/>
          <w:szCs w:val="21"/>
        </w:rPr>
        <w:fldChar w:fldCharType="end"/>
      </w:r>
      <w:r>
        <w:rPr>
          <w:rFonts w:ascii="宋体" w:hAnsi="宋体"/>
          <w:szCs w:val="21"/>
        </w:rPr>
        <w:t>和</w:t>
      </w:r>
      <w:r>
        <w:rPr>
          <w:rFonts w:ascii="宋体" w:hAnsi="宋体"/>
          <w:szCs w:val="21"/>
        </w:rPr>
        <w:fldChar w:fldCharType="begin"/>
      </w:r>
      <w:r>
        <w:rPr>
          <w:rFonts w:ascii="宋体" w:hAnsi="宋体"/>
          <w:szCs w:val="21"/>
        </w:rPr>
        <w:instrText xml:space="preserve"> HYPERLINK "http://baike.baidu.com/subview/843826/13487500.htm" \t "_blank" </w:instrText>
      </w:r>
      <w:r>
        <w:rPr>
          <w:rFonts w:ascii="宋体" w:hAnsi="宋体"/>
          <w:szCs w:val="21"/>
        </w:rPr>
        <w:fldChar w:fldCharType="separate"/>
      </w:r>
      <w:r>
        <w:rPr>
          <w:rFonts w:ascii="宋体" w:hAnsi="宋体"/>
          <w:szCs w:val="21"/>
        </w:rPr>
        <w:t>拉卡</w:t>
      </w:r>
      <w:r>
        <w:rPr>
          <w:rFonts w:ascii="宋体" w:hAnsi="宋体"/>
          <w:szCs w:val="21"/>
        </w:rPr>
        <w:fldChar w:fldCharType="end"/>
      </w:r>
      <w:r>
        <w:rPr>
          <w:rFonts w:ascii="宋体" w:hAnsi="宋体"/>
          <w:szCs w:val="21"/>
        </w:rPr>
        <w:t>的居民区</w:t>
      </w:r>
      <w:r>
        <w:rPr>
          <w:rFonts w:hint="eastAsia" w:ascii="宋体" w:hAnsi="宋体"/>
          <w:szCs w:val="21"/>
        </w:rPr>
        <w:t>内</w:t>
      </w:r>
      <w:r>
        <w:rPr>
          <w:rFonts w:ascii="宋体" w:hAnsi="宋体"/>
          <w:szCs w:val="21"/>
        </w:rPr>
        <w:t>两条公路上</w:t>
      </w:r>
      <w:r>
        <w:rPr>
          <w:rFonts w:hint="eastAsia" w:ascii="宋体" w:hAnsi="宋体"/>
          <w:szCs w:val="21"/>
        </w:rPr>
        <w:t>的</w:t>
      </w:r>
      <w:r>
        <w:rPr>
          <w:rFonts w:ascii="宋体" w:hAnsi="宋体"/>
          <w:szCs w:val="21"/>
        </w:rPr>
        <w:t>车队进行了打击，消灭</w:t>
      </w:r>
      <w:r>
        <w:rPr>
          <w:rFonts w:hint="eastAsia" w:ascii="宋体" w:hAnsi="宋体"/>
          <w:szCs w:val="21"/>
        </w:rPr>
        <w:t>ISIS</w:t>
      </w:r>
      <w:r>
        <w:rPr>
          <w:rFonts w:ascii="宋体" w:hAnsi="宋体"/>
          <w:szCs w:val="21"/>
        </w:rPr>
        <w:t>近40辆液罐汽车及大装载量货车。</w:t>
      </w:r>
      <w:r>
        <w:rPr>
          <w:rStyle w:val="12"/>
          <w:rFonts w:ascii="宋体" w:hAnsi="宋体"/>
          <w:sz w:val="24"/>
        </w:rPr>
        <w:t>[</w:t>
      </w:r>
      <w:r>
        <w:rPr>
          <w:rStyle w:val="12"/>
          <w:rFonts w:ascii="宋体" w:hAnsi="宋体"/>
          <w:sz w:val="24"/>
        </w:rPr>
        <w:footnoteReference w:id="96"/>
      </w:r>
      <w:r>
        <w:rPr>
          <w:rStyle w:val="12"/>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宋体" w:hAnsi="宋体"/>
          <w:b/>
          <w:sz w:val="24"/>
        </w:rPr>
      </w:pPr>
      <w:r>
        <w:rPr>
          <w:rFonts w:hint="eastAsia" w:ascii="宋体" w:hAnsi="宋体"/>
          <w:b/>
          <w:sz w:val="24"/>
        </w:rPr>
        <w:t>（四）澳大利亚</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ascii="宋体" w:hAnsi="宋体"/>
          <w:szCs w:val="21"/>
        </w:rPr>
        <w:t>2014年10月3日，</w:t>
      </w:r>
      <w:r>
        <w:rPr>
          <w:rFonts w:ascii="宋体" w:hAnsi="宋体"/>
          <w:szCs w:val="21"/>
        </w:rPr>
        <w:fldChar w:fldCharType="begin"/>
      </w:r>
      <w:r>
        <w:rPr>
          <w:rFonts w:ascii="宋体" w:hAnsi="宋体"/>
          <w:szCs w:val="21"/>
        </w:rPr>
        <w:instrText xml:space="preserve"> HYPERLINK "http://baike.baidu.com/view/3246876.htm" \t "_blank" </w:instrText>
      </w:r>
      <w:r>
        <w:rPr>
          <w:rFonts w:ascii="宋体" w:hAnsi="宋体"/>
          <w:szCs w:val="21"/>
        </w:rPr>
        <w:fldChar w:fldCharType="separate"/>
      </w:r>
      <w:r>
        <w:rPr>
          <w:rFonts w:ascii="宋体" w:hAnsi="宋体"/>
          <w:szCs w:val="21"/>
        </w:rPr>
        <w:t>澳大利亚</w:t>
      </w:r>
      <w:r>
        <w:rPr>
          <w:rFonts w:hint="eastAsia" w:ascii="宋体" w:hAnsi="宋体"/>
          <w:szCs w:val="21"/>
        </w:rPr>
        <w:t>已派出</w:t>
      </w:r>
      <w:r>
        <w:rPr>
          <w:rFonts w:ascii="宋体" w:hAnsi="宋体"/>
          <w:szCs w:val="21"/>
        </w:rPr>
        <w:t>皇家空军</w:t>
      </w:r>
      <w:r>
        <w:rPr>
          <w:rFonts w:ascii="宋体" w:hAnsi="宋体"/>
          <w:szCs w:val="21"/>
        </w:rPr>
        <w:fldChar w:fldCharType="end"/>
      </w:r>
      <w:r>
        <w:rPr>
          <w:rFonts w:ascii="宋体" w:hAnsi="宋体"/>
          <w:szCs w:val="21"/>
        </w:rPr>
        <w:t>的6架战机</w:t>
      </w:r>
      <w:r>
        <w:rPr>
          <w:rFonts w:hint="eastAsia" w:ascii="宋体" w:hAnsi="宋体"/>
          <w:szCs w:val="21"/>
        </w:rPr>
        <w:t>、</w:t>
      </w:r>
      <w:r>
        <w:rPr>
          <w:rFonts w:ascii="宋体" w:hAnsi="宋体"/>
          <w:szCs w:val="21"/>
        </w:rPr>
        <w:t>1架</w:t>
      </w:r>
      <w:r>
        <w:rPr>
          <w:rFonts w:ascii="宋体" w:hAnsi="宋体"/>
          <w:szCs w:val="21"/>
        </w:rPr>
        <w:fldChar w:fldCharType="begin"/>
      </w:r>
      <w:r>
        <w:rPr>
          <w:rFonts w:ascii="宋体" w:hAnsi="宋体"/>
          <w:szCs w:val="21"/>
        </w:rPr>
        <w:instrText xml:space="preserve"> HYPERLINK "http://baike.baidu.com/view/1172.htm" \t "_blank" </w:instrText>
      </w:r>
      <w:r>
        <w:rPr>
          <w:rFonts w:ascii="宋体" w:hAnsi="宋体"/>
          <w:szCs w:val="21"/>
        </w:rPr>
        <w:fldChar w:fldCharType="separate"/>
      </w:r>
      <w:r>
        <w:rPr>
          <w:rFonts w:ascii="宋体" w:hAnsi="宋体"/>
          <w:szCs w:val="21"/>
        </w:rPr>
        <w:t>预警机</w:t>
      </w:r>
      <w:r>
        <w:rPr>
          <w:rFonts w:ascii="宋体" w:hAnsi="宋体"/>
          <w:szCs w:val="21"/>
        </w:rPr>
        <w:fldChar w:fldCharType="end"/>
      </w:r>
      <w:r>
        <w:rPr>
          <w:rFonts w:ascii="宋体" w:hAnsi="宋体"/>
          <w:szCs w:val="21"/>
        </w:rPr>
        <w:t>和1架</w:t>
      </w:r>
      <w:r>
        <w:rPr>
          <w:rFonts w:ascii="宋体" w:hAnsi="宋体"/>
          <w:szCs w:val="21"/>
        </w:rPr>
        <w:fldChar w:fldCharType="begin"/>
      </w:r>
      <w:r>
        <w:rPr>
          <w:rFonts w:ascii="宋体" w:hAnsi="宋体"/>
          <w:szCs w:val="21"/>
        </w:rPr>
        <w:instrText xml:space="preserve"> HYPERLINK "http://baike.baidu.com/view/43773.htm" \t "_blank" </w:instrText>
      </w:r>
      <w:r>
        <w:rPr>
          <w:rFonts w:ascii="宋体" w:hAnsi="宋体"/>
          <w:szCs w:val="21"/>
        </w:rPr>
        <w:fldChar w:fldCharType="separate"/>
      </w:r>
      <w:r>
        <w:rPr>
          <w:rFonts w:ascii="宋体" w:hAnsi="宋体"/>
          <w:szCs w:val="21"/>
        </w:rPr>
        <w:t>空中加油机</w:t>
      </w:r>
      <w:r>
        <w:rPr>
          <w:rFonts w:ascii="宋体" w:hAnsi="宋体"/>
          <w:szCs w:val="21"/>
        </w:rPr>
        <w:fldChar w:fldCharType="end"/>
      </w:r>
      <w:r>
        <w:rPr>
          <w:rFonts w:ascii="宋体" w:hAnsi="宋体"/>
          <w:szCs w:val="21"/>
        </w:rPr>
        <w:t>飞抵中东待命，</w:t>
      </w:r>
      <w:r>
        <w:rPr>
          <w:rFonts w:hint="eastAsia" w:ascii="宋体" w:hAnsi="宋体"/>
          <w:szCs w:val="21"/>
        </w:rPr>
        <w:t>随时</w:t>
      </w:r>
      <w:r>
        <w:rPr>
          <w:rFonts w:ascii="宋体" w:hAnsi="宋体"/>
          <w:szCs w:val="21"/>
        </w:rPr>
        <w:t>准备参加对ISIS的空袭打击</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另外，</w:t>
      </w:r>
      <w:r>
        <w:rPr>
          <w:rFonts w:ascii="宋体" w:hAnsi="宋体"/>
          <w:szCs w:val="21"/>
        </w:rPr>
        <w:t>澳大利亚向</w:t>
      </w:r>
      <w:r>
        <w:rPr>
          <w:rFonts w:ascii="宋体" w:hAnsi="宋体"/>
          <w:szCs w:val="21"/>
        </w:rPr>
        <w:fldChar w:fldCharType="begin"/>
      </w:r>
      <w:r>
        <w:rPr>
          <w:rFonts w:ascii="宋体" w:hAnsi="宋体"/>
          <w:szCs w:val="21"/>
        </w:rPr>
        <w:instrText xml:space="preserve"> HYPERLINK "http://baike.baidu.com/view/6802.htm" \t "_blank" </w:instrText>
      </w:r>
      <w:r>
        <w:rPr>
          <w:rFonts w:ascii="宋体" w:hAnsi="宋体"/>
          <w:szCs w:val="21"/>
        </w:rPr>
        <w:fldChar w:fldCharType="separate"/>
      </w:r>
      <w:r>
        <w:rPr>
          <w:rFonts w:ascii="宋体" w:hAnsi="宋体"/>
          <w:szCs w:val="21"/>
        </w:rPr>
        <w:t>阿拉伯联合酋长国</w:t>
      </w:r>
      <w:r>
        <w:rPr>
          <w:rFonts w:ascii="宋体" w:hAnsi="宋体"/>
          <w:szCs w:val="21"/>
        </w:rPr>
        <w:fldChar w:fldCharType="end"/>
      </w:r>
      <w:r>
        <w:rPr>
          <w:rFonts w:ascii="宋体" w:hAnsi="宋体"/>
          <w:szCs w:val="21"/>
        </w:rPr>
        <w:t>派遣了400名空军人员、200名特种部队军人和11架飞机，为在伊拉克的军事行动做准备。</w:t>
      </w:r>
      <w:r>
        <w:rPr>
          <w:rFonts w:hint="eastAsia" w:ascii="宋体" w:hAnsi="宋体"/>
          <w:szCs w:val="21"/>
        </w:rPr>
        <w:t>据悉，日前已有</w:t>
      </w:r>
      <w:r>
        <w:rPr>
          <w:rFonts w:ascii="宋体" w:hAnsi="宋体"/>
          <w:szCs w:val="21"/>
        </w:rPr>
        <w:t>约160名澳大利亚人投奔IS，与激进分子并肩作战或是提供支持</w:t>
      </w:r>
      <w:r>
        <w:rPr>
          <w:rFonts w:hint="eastAsia" w:ascii="宋体" w:hAnsi="宋体"/>
          <w:szCs w:val="21"/>
        </w:rPr>
        <w:t>，引起澳大利亚政府的高度重视。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宋体" w:hAnsi="宋体"/>
          <w:b/>
          <w:sz w:val="24"/>
        </w:rPr>
      </w:pPr>
      <w:r>
        <w:rPr>
          <w:rFonts w:hint="eastAsia" w:ascii="宋体" w:hAnsi="宋体"/>
          <w:b/>
          <w:sz w:val="24"/>
        </w:rPr>
        <w:t>（五）土耳其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ascii="宋体" w:hAnsi="宋体"/>
          <w:szCs w:val="21"/>
        </w:rPr>
        <w:t>2014年10月7日，</w:t>
      </w:r>
      <w:r>
        <w:rPr>
          <w:rFonts w:ascii="宋体" w:hAnsi="宋体"/>
          <w:szCs w:val="21"/>
        </w:rPr>
        <w:fldChar w:fldCharType="begin"/>
      </w:r>
      <w:r>
        <w:rPr>
          <w:rFonts w:ascii="宋体" w:hAnsi="宋体"/>
          <w:szCs w:val="21"/>
        </w:rPr>
        <w:instrText xml:space="preserve"> HYPERLINK "http://baike.baidu.com/view/6785.htm" \t "_blank" </w:instrText>
      </w:r>
      <w:r>
        <w:rPr>
          <w:rFonts w:ascii="宋体" w:hAnsi="宋体"/>
          <w:szCs w:val="21"/>
        </w:rPr>
        <w:fldChar w:fldCharType="separate"/>
      </w:r>
      <w:r>
        <w:rPr>
          <w:rFonts w:ascii="宋体" w:hAnsi="宋体"/>
          <w:szCs w:val="21"/>
        </w:rPr>
        <w:t>土耳其</w:t>
      </w:r>
      <w:r>
        <w:rPr>
          <w:rFonts w:ascii="宋体" w:hAnsi="宋体"/>
          <w:szCs w:val="21"/>
        </w:rPr>
        <w:fldChar w:fldCharType="end"/>
      </w:r>
      <w:r>
        <w:rPr>
          <w:rFonts w:ascii="宋体" w:hAnsi="宋体"/>
          <w:szCs w:val="21"/>
        </w:rPr>
        <w:t>总统埃尔多安发表讲话，呼吁西方国家对</w:t>
      </w:r>
      <w:r>
        <w:rPr>
          <w:rFonts w:hint="eastAsia" w:ascii="宋体" w:hAnsi="宋体"/>
          <w:szCs w:val="21"/>
        </w:rPr>
        <w:t>IS组织</w:t>
      </w:r>
      <w:r>
        <w:rPr>
          <w:rFonts w:ascii="宋体" w:hAnsi="宋体"/>
          <w:szCs w:val="21"/>
        </w:rPr>
        <w:t>发动地面进攻。埃尔多安当天在土耳其南部</w:t>
      </w:r>
      <w:r>
        <w:rPr>
          <w:rFonts w:ascii="宋体" w:hAnsi="宋体"/>
          <w:szCs w:val="21"/>
        </w:rPr>
        <w:fldChar w:fldCharType="begin"/>
      </w:r>
      <w:r>
        <w:rPr>
          <w:rFonts w:ascii="宋体" w:hAnsi="宋体"/>
          <w:szCs w:val="21"/>
        </w:rPr>
        <w:instrText xml:space="preserve"> HYPERLINK "http://baike.baidu.com/view/750869.htm" \t "_blank" </w:instrText>
      </w:r>
      <w:r>
        <w:rPr>
          <w:rFonts w:ascii="宋体" w:hAnsi="宋体"/>
          <w:szCs w:val="21"/>
        </w:rPr>
        <w:fldChar w:fldCharType="separate"/>
      </w:r>
      <w:r>
        <w:rPr>
          <w:rFonts w:ascii="宋体" w:hAnsi="宋体"/>
          <w:szCs w:val="21"/>
        </w:rPr>
        <w:t>加济安泰普</w:t>
      </w:r>
      <w:r>
        <w:rPr>
          <w:rFonts w:ascii="宋体" w:hAnsi="宋体"/>
          <w:szCs w:val="21"/>
        </w:rPr>
        <w:fldChar w:fldCharType="end"/>
      </w:r>
      <w:r>
        <w:rPr>
          <w:rFonts w:ascii="宋体" w:hAnsi="宋体"/>
          <w:szCs w:val="21"/>
        </w:rPr>
        <w:t>省说，IS即将攻占与土耳其交界的叙利亚北部重镇科班，只通过空中打击难以消除来自IS的威胁</w:t>
      </w:r>
      <w:r>
        <w:rPr>
          <w:rFonts w:hint="eastAsia" w:ascii="宋体" w:hAnsi="宋体"/>
          <w:szCs w:val="21"/>
        </w:rPr>
        <w:t>。他</w:t>
      </w:r>
      <w:r>
        <w:rPr>
          <w:rFonts w:ascii="宋体" w:hAnsi="宋体"/>
          <w:szCs w:val="21"/>
        </w:rPr>
        <w:t>还建议在靠近叙利亚和伊拉克的边境地区建立“</w:t>
      </w:r>
      <w:r>
        <w:rPr>
          <w:rFonts w:ascii="宋体" w:hAnsi="宋体"/>
          <w:szCs w:val="21"/>
        </w:rPr>
        <w:fldChar w:fldCharType="begin"/>
      </w:r>
      <w:r>
        <w:rPr>
          <w:rFonts w:ascii="宋体" w:hAnsi="宋体"/>
          <w:szCs w:val="21"/>
        </w:rPr>
        <w:instrText xml:space="preserve"> HYPERLINK "http://baike.baidu.com/view/194299.htm" \t "_blank" </w:instrText>
      </w:r>
      <w:r>
        <w:rPr>
          <w:rFonts w:ascii="宋体" w:hAnsi="宋体"/>
          <w:szCs w:val="21"/>
        </w:rPr>
        <w:fldChar w:fldCharType="separate"/>
      </w:r>
      <w:r>
        <w:rPr>
          <w:rFonts w:ascii="宋体" w:hAnsi="宋体"/>
          <w:szCs w:val="21"/>
        </w:rPr>
        <w:t>禁飞区</w:t>
      </w:r>
      <w:r>
        <w:rPr>
          <w:rFonts w:ascii="宋体" w:hAnsi="宋体"/>
          <w:szCs w:val="21"/>
        </w:rPr>
        <w:fldChar w:fldCharType="end"/>
      </w:r>
      <w:r>
        <w:rPr>
          <w:rFonts w:ascii="宋体" w:hAnsi="宋体"/>
          <w:szCs w:val="21"/>
        </w:rPr>
        <w:t>”和“</w:t>
      </w:r>
      <w:r>
        <w:rPr>
          <w:rFonts w:ascii="宋体" w:hAnsi="宋体"/>
          <w:szCs w:val="21"/>
        </w:rPr>
        <w:fldChar w:fldCharType="begin"/>
      </w:r>
      <w:r>
        <w:rPr>
          <w:rFonts w:ascii="宋体" w:hAnsi="宋体"/>
          <w:szCs w:val="21"/>
        </w:rPr>
        <w:instrText xml:space="preserve"> HYPERLINK "http://baike.baidu.com/view/266782.htm" \t "_blank" </w:instrText>
      </w:r>
      <w:r>
        <w:rPr>
          <w:rFonts w:ascii="宋体" w:hAnsi="宋体"/>
          <w:szCs w:val="21"/>
        </w:rPr>
        <w:fldChar w:fldCharType="separate"/>
      </w:r>
      <w:r>
        <w:rPr>
          <w:rFonts w:ascii="宋体" w:hAnsi="宋体"/>
          <w:szCs w:val="21"/>
        </w:rPr>
        <w:t>缓冲区</w:t>
      </w:r>
      <w:r>
        <w:rPr>
          <w:rFonts w:ascii="宋体" w:hAnsi="宋体"/>
          <w:szCs w:val="21"/>
        </w:rPr>
        <w:fldChar w:fldCharType="end"/>
      </w:r>
      <w:r>
        <w:rPr>
          <w:rFonts w:ascii="宋体" w:hAnsi="宋体"/>
          <w:szCs w:val="21"/>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ascii="宋体" w:hAnsi="宋体"/>
          <w:szCs w:val="21"/>
        </w:rPr>
        <w:t>2015年12月3日，土耳其外交消息透露，</w:t>
      </w:r>
      <w:r>
        <w:rPr>
          <w:rFonts w:ascii="宋体" w:hAnsi="宋体"/>
          <w:szCs w:val="21"/>
        </w:rPr>
        <w:fldChar w:fldCharType="begin"/>
      </w:r>
      <w:r>
        <w:rPr>
          <w:rFonts w:ascii="宋体" w:hAnsi="宋体"/>
          <w:szCs w:val="21"/>
        </w:rPr>
        <w:instrText xml:space="preserve"> HYPERLINK "http://baike.baidu.com/subview/31124/16994878.htm" \t "_blank" </w:instrText>
      </w:r>
      <w:r>
        <w:rPr>
          <w:rFonts w:ascii="宋体" w:hAnsi="宋体"/>
          <w:szCs w:val="21"/>
        </w:rPr>
        <w:fldChar w:fldCharType="separate"/>
      </w:r>
      <w:r>
        <w:rPr>
          <w:rFonts w:ascii="宋体" w:hAnsi="宋体"/>
          <w:szCs w:val="21"/>
        </w:rPr>
        <w:t>安卡拉</w:t>
      </w:r>
      <w:r>
        <w:rPr>
          <w:rFonts w:ascii="宋体" w:hAnsi="宋体"/>
          <w:szCs w:val="21"/>
        </w:rPr>
        <w:fldChar w:fldCharType="end"/>
      </w:r>
      <w:r>
        <w:rPr>
          <w:rFonts w:ascii="宋体" w:hAnsi="宋体"/>
          <w:szCs w:val="21"/>
        </w:rPr>
        <w:t>允许法国在于</w:t>
      </w:r>
      <w:r>
        <w:rPr>
          <w:rFonts w:ascii="宋体" w:hAnsi="宋体"/>
          <w:szCs w:val="21"/>
        </w:rPr>
        <w:fldChar w:fldCharType="begin"/>
      </w:r>
      <w:r>
        <w:rPr>
          <w:rFonts w:ascii="宋体" w:hAnsi="宋体"/>
          <w:szCs w:val="21"/>
        </w:rPr>
        <w:instrText xml:space="preserve"> HYPERLINK "http://baike.baidu.com/view/27697.htm" \t "_blank" </w:instrText>
      </w:r>
      <w:r>
        <w:rPr>
          <w:rFonts w:ascii="宋体" w:hAnsi="宋体"/>
          <w:szCs w:val="21"/>
        </w:rPr>
        <w:fldChar w:fldCharType="separate"/>
      </w:r>
      <w:r>
        <w:rPr>
          <w:rFonts w:ascii="宋体" w:hAnsi="宋体"/>
          <w:szCs w:val="21"/>
        </w:rPr>
        <w:t>国际联盟</w:t>
      </w:r>
      <w:r>
        <w:rPr>
          <w:rFonts w:ascii="宋体" w:hAnsi="宋体"/>
          <w:szCs w:val="21"/>
        </w:rPr>
        <w:fldChar w:fldCharType="end"/>
      </w:r>
      <w:r>
        <w:rPr>
          <w:rFonts w:ascii="宋体" w:hAnsi="宋体"/>
          <w:szCs w:val="21"/>
        </w:rPr>
        <w:t>框架下打击</w:t>
      </w:r>
      <w:r>
        <w:rPr>
          <w:rFonts w:hint="eastAsia" w:ascii="宋体" w:hAnsi="宋体"/>
          <w:szCs w:val="21"/>
        </w:rPr>
        <w:t>IS</w:t>
      </w:r>
      <w:r>
        <w:rPr>
          <w:rFonts w:ascii="宋体" w:hAnsi="宋体"/>
          <w:szCs w:val="21"/>
        </w:rPr>
        <w:t>的行动中，</w:t>
      </w:r>
      <w:r>
        <w:rPr>
          <w:rFonts w:hint="eastAsia" w:ascii="宋体" w:hAnsi="宋体"/>
          <w:szCs w:val="21"/>
        </w:rPr>
        <w:t>进入</w:t>
      </w:r>
      <w:r>
        <w:rPr>
          <w:rFonts w:ascii="宋体" w:hAnsi="宋体"/>
          <w:szCs w:val="21"/>
        </w:rPr>
        <w:t>土耳其的领空。安卡拉开了绿灯后，法国将可以在土耳其的</w:t>
      </w:r>
      <w:r>
        <w:rPr>
          <w:rFonts w:ascii="宋体" w:hAnsi="宋体"/>
          <w:szCs w:val="21"/>
        </w:rPr>
        <w:fldChar w:fldCharType="begin"/>
      </w:r>
      <w:r>
        <w:rPr>
          <w:rFonts w:ascii="宋体" w:hAnsi="宋体"/>
          <w:szCs w:val="21"/>
        </w:rPr>
        <w:instrText xml:space="preserve"> HYPERLINK "http://baike.baidu.com/view/17252.htm" \t "_blank" </w:instrText>
      </w:r>
      <w:r>
        <w:rPr>
          <w:rFonts w:ascii="宋体" w:hAnsi="宋体"/>
          <w:szCs w:val="21"/>
        </w:rPr>
        <w:fldChar w:fldCharType="separate"/>
      </w:r>
      <w:r>
        <w:rPr>
          <w:rFonts w:ascii="宋体" w:hAnsi="宋体"/>
          <w:szCs w:val="21"/>
        </w:rPr>
        <w:t>军事基地</w:t>
      </w:r>
      <w:r>
        <w:rPr>
          <w:rFonts w:ascii="宋体" w:hAnsi="宋体"/>
          <w:szCs w:val="21"/>
        </w:rPr>
        <w:fldChar w:fldCharType="end"/>
      </w:r>
      <w:r>
        <w:rPr>
          <w:rFonts w:ascii="宋体" w:hAnsi="宋体"/>
          <w:szCs w:val="21"/>
        </w:rPr>
        <w:t>部署战机，包括土耳其南部、离叙利亚边境不远的因吉尔利克</w:t>
      </w:r>
      <w:r>
        <w:rPr>
          <w:rFonts w:ascii="宋体" w:hAnsi="宋体"/>
          <w:szCs w:val="21"/>
        </w:rPr>
        <w:fldChar w:fldCharType="begin"/>
      </w:r>
      <w:r>
        <w:rPr>
          <w:rFonts w:ascii="宋体" w:hAnsi="宋体"/>
          <w:szCs w:val="21"/>
        </w:rPr>
        <w:instrText xml:space="preserve"> HYPERLINK "http://baike.baidu.com/subview/3377870/15886993.htm" \t "_blank" </w:instrText>
      </w:r>
      <w:r>
        <w:rPr>
          <w:rFonts w:ascii="宋体" w:hAnsi="宋体"/>
          <w:szCs w:val="21"/>
        </w:rPr>
        <w:fldChar w:fldCharType="separate"/>
      </w:r>
      <w:r>
        <w:rPr>
          <w:rFonts w:ascii="宋体" w:hAnsi="宋体"/>
          <w:szCs w:val="21"/>
        </w:rPr>
        <w:t>空军基地</w:t>
      </w:r>
      <w:r>
        <w:rPr>
          <w:rFonts w:ascii="宋体" w:hAnsi="宋体"/>
          <w:szCs w:val="21"/>
        </w:rPr>
        <w:fldChar w:fldCharType="end"/>
      </w:r>
      <w:r>
        <w:rPr>
          <w:rFonts w:ascii="宋体" w:hAnsi="宋体"/>
          <w:szCs w:val="21"/>
        </w:rPr>
        <w:t>(Incirlik)，美空军</w:t>
      </w:r>
      <w:r>
        <w:rPr>
          <w:rFonts w:hint="eastAsia" w:ascii="宋体" w:hAnsi="宋体"/>
          <w:szCs w:val="21"/>
        </w:rPr>
        <w:t>也曾</w:t>
      </w:r>
      <w:r>
        <w:rPr>
          <w:rFonts w:ascii="宋体" w:hAnsi="宋体"/>
          <w:szCs w:val="21"/>
        </w:rPr>
        <w:t>使用该基地对</w:t>
      </w:r>
      <w:r>
        <w:rPr>
          <w:rFonts w:hint="eastAsia" w:ascii="宋体" w:hAnsi="宋体"/>
          <w:szCs w:val="21"/>
        </w:rPr>
        <w:t>ISIS</w:t>
      </w:r>
      <w:r>
        <w:rPr>
          <w:rFonts w:ascii="宋体" w:hAnsi="宋体"/>
          <w:szCs w:val="21"/>
        </w:rPr>
        <w:t>进行空袭。</w:t>
      </w:r>
      <w:r>
        <w:rPr>
          <w:rStyle w:val="12"/>
          <w:rFonts w:ascii="宋体" w:hAnsi="宋体"/>
          <w:sz w:val="24"/>
        </w:rPr>
        <w:t>[</w:t>
      </w:r>
      <w:r>
        <w:rPr>
          <w:rStyle w:val="12"/>
          <w:rFonts w:ascii="宋体" w:hAnsi="宋体"/>
          <w:sz w:val="24"/>
        </w:rPr>
        <w:footnoteReference w:id="97"/>
      </w:r>
      <w:r>
        <w:rPr>
          <w:rStyle w:val="12"/>
          <w:rFonts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宋体" w:hAnsi="宋体"/>
          <w:b/>
          <w:sz w:val="24"/>
        </w:rPr>
      </w:pPr>
      <w:r>
        <w:rPr>
          <w:rFonts w:hint="eastAsia" w:ascii="宋体" w:hAnsi="宋体"/>
          <w:b/>
          <w:sz w:val="24"/>
        </w:rPr>
        <w:t>（六）叙利亚</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ascii="宋体" w:hAnsi="宋体"/>
          <w:szCs w:val="21"/>
        </w:rPr>
      </w:pPr>
      <w:r>
        <w:rPr>
          <w:rFonts w:ascii="宋体" w:hAnsi="宋体"/>
          <w:szCs w:val="21"/>
        </w:rPr>
        <w:t>2015年9月21日，叙利亚政府</w:t>
      </w:r>
      <w:r>
        <w:rPr>
          <w:rFonts w:hint="eastAsia" w:ascii="宋体" w:hAnsi="宋体"/>
          <w:szCs w:val="21"/>
        </w:rPr>
        <w:t>对</w:t>
      </w:r>
      <w:r>
        <w:rPr>
          <w:rFonts w:ascii="宋体" w:hAnsi="宋体"/>
          <w:szCs w:val="21"/>
        </w:rPr>
        <w:t>在该国中部的3个由</w:t>
      </w:r>
      <w:r>
        <w:rPr>
          <w:rFonts w:hint="eastAsia" w:ascii="宋体" w:hAnsi="宋体"/>
          <w:szCs w:val="21"/>
        </w:rPr>
        <w:t>ISIS</w:t>
      </w:r>
      <w:r>
        <w:rPr>
          <w:rFonts w:ascii="宋体" w:hAnsi="宋体"/>
          <w:szCs w:val="21"/>
        </w:rPr>
        <w:t>控制的小镇展开空袭，炸死38名极端武装分子。</w:t>
      </w:r>
      <w:r>
        <w:rPr>
          <w:rStyle w:val="12"/>
          <w:rFonts w:ascii="宋体" w:hAnsi="宋体"/>
          <w:sz w:val="24"/>
        </w:rPr>
        <w:t>[</w:t>
      </w:r>
      <w:r>
        <w:rPr>
          <w:rStyle w:val="12"/>
          <w:rFonts w:ascii="宋体" w:hAnsi="宋体"/>
          <w:sz w:val="24"/>
        </w:rPr>
        <w:footnoteReference w:id="98"/>
      </w:r>
      <w:r>
        <w:rPr>
          <w:rStyle w:val="12"/>
          <w:rFonts w:ascii="宋体" w:hAnsi="宋体"/>
          <w:sz w:val="24"/>
        </w:rPr>
        <w:t>]</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宋体" w:hAnsi="宋体"/>
          <w:b/>
          <w:sz w:val="24"/>
        </w:rPr>
      </w:pPr>
      <w:r>
        <w:rPr>
          <w:rFonts w:hint="eastAsia" w:ascii="宋体" w:hAnsi="宋体"/>
          <w:b/>
          <w:sz w:val="24"/>
        </w:rPr>
        <w:t>（七）中国</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在2015年11月15、16日于土耳其举行的二十国集团安塔利亚峰会上，中国国家主席习近平与土耳其总统埃尔多安在会谈中一致对ISIS制造巴黎恐怖袭击表示严正谴责，赞同国际社会加强合作，综合施策，共同打击恐怖主义。</w:t>
      </w:r>
    </w:p>
    <w:p>
      <w:pPr>
        <w:keepNext w:val="0"/>
        <w:keepLines w:val="0"/>
        <w:pageBreakBefore w:val="0"/>
        <w:widowControl w:val="0"/>
        <w:kinsoku/>
        <w:wordWrap/>
        <w:overflowPunct/>
        <w:topLinePunct w:val="0"/>
        <w:autoSpaceDE/>
        <w:autoSpaceDN/>
        <w:bidi w:val="0"/>
        <w:adjustRightInd w:val="0"/>
        <w:snapToGrid w:val="0"/>
        <w:spacing w:before="156" w:beforeLines="50" w:line="240" w:lineRule="auto"/>
        <w:jc w:val="center"/>
        <w:textAlignment w:val="auto"/>
        <w:outlineLvl w:val="9"/>
        <w:rPr>
          <w:rFonts w:hint="eastAsia" w:ascii="黑体" w:hAnsi="黑体" w:eastAsia="黑体" w:cs="黑体"/>
          <w:b/>
          <w:sz w:val="21"/>
          <w:szCs w:val="21"/>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88" w:lineRule="auto"/>
        <w:ind w:leftChars="0" w:right="0" w:rightChars="0"/>
        <w:jc w:val="center"/>
        <w:textAlignment w:val="auto"/>
        <w:outlineLvl w:val="9"/>
        <w:rPr>
          <w:rFonts w:hint="eastAsia" w:ascii="黑体" w:hAnsi="黑体" w:eastAsia="黑体" w:cs="黑体"/>
          <w:b/>
          <w:sz w:val="21"/>
          <w:szCs w:val="21"/>
        </w:rPr>
      </w:pPr>
      <w:r>
        <w:rPr>
          <w:rFonts w:hint="eastAsia" w:ascii="黑体" w:hAnsi="黑体" w:eastAsia="黑体" w:cs="黑体"/>
          <w:b/>
          <w:sz w:val="28"/>
          <w:szCs w:val="28"/>
          <w:lang w:val="en-US" w:eastAsia="zh-CN"/>
        </w:rPr>
        <w:t>五、</w:t>
      </w:r>
      <w:r>
        <w:rPr>
          <w:rFonts w:hint="eastAsia" w:ascii="黑体" w:hAnsi="黑体" w:eastAsia="黑体" w:cs="黑体"/>
          <w:b/>
          <w:sz w:val="28"/>
          <w:szCs w:val="28"/>
        </w:rPr>
        <w:t>关于国际反恐新动向的思考</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不难看出，尽管在二十国集团峰会会后发表的《二十国集团安塔利亚峰会公报》和《二十国集团安塔利亚峰会关于反恐问题的声明》中，各国已发出呼吁，提倡加强协作共同打击恐怖主义，但囿于当前国际局势下，大国间国际关系错综复杂，不同的利益诉求导致各国在反恐合作上也是矛盾重重，故目前只能停留在小范围的合作上而难以有大的突破。但是，从此前的相关新闻中不难看出，ISIS成员中不仅包括伊拉克和叙利亚境内的极端伊斯兰教徒，还包括许多“慕名而来”的域外伊斯兰教众，甚至还有英美俄等国家的一些年轻人。换句话说，ISIS拥有更多更广的域外成员，这就意味着它拥有更强更灵活的跨境恐怖袭击能力。为了应对IS这一分散广、辐射范围大、跨境能力强的特点，相应的就要求各国应当加强合作，提高联合行动的机动性、灵活性和配合能力，以便在跨境恐怖袭击发生时可以两地同时打击、及时打击，实现对恐怖主义的有效遏制甚至消灭。</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值得注意的是，与以往恐怖组织相比，ISIS的一大特征就是擅长借助网络渠道，实现其快速传播、迅速扩大的目的。ISIS常见的自我营销模式就有以下几种：通过诸如在线文本编辑平台JustPaste一类的工具来总结自己的战斗情况、通过在线音频分享平台SoundCloud公布音频报告、通过Instagram、</w:t>
      </w:r>
      <w:r>
        <w:rPr>
          <w:rFonts w:ascii="宋体" w:hAnsi="宋体"/>
          <w:szCs w:val="21"/>
        </w:rPr>
        <w:t>Facebook、Twitter、YouTube</w:t>
      </w:r>
      <w:r>
        <w:rPr>
          <w:rFonts w:hint="eastAsia" w:ascii="宋体" w:hAnsi="宋体"/>
          <w:szCs w:val="21"/>
        </w:rPr>
        <w:t>和WhatsApp这些社交应用来发布大量的图片和视频内容。</w:t>
      </w:r>
      <w:r>
        <w:rPr>
          <w:rStyle w:val="12"/>
          <w:sz w:val="24"/>
        </w:rPr>
        <w:t>[</w:t>
      </w:r>
      <w:r>
        <w:rPr>
          <w:rStyle w:val="12"/>
          <w:sz w:val="24"/>
        </w:rPr>
        <w:footnoteReference w:id="99"/>
      </w:r>
      <w:r>
        <w:rPr>
          <w:rStyle w:val="12"/>
          <w:sz w:val="24"/>
        </w:rPr>
        <w:t>]</w:t>
      </w:r>
      <w:r>
        <w:rPr>
          <w:rFonts w:hint="eastAsia" w:ascii="宋体" w:hAnsi="宋体"/>
          <w:szCs w:val="21"/>
        </w:rPr>
        <w:t>这些直播其斩首人质、烧杀淫掠的音频视频一方面帮助散布其所制造的恐怖效果，引起更大范围的恐慌，另一方面也实现了宣扬其恐怖主义思想、蛊惑更多新鲜血液加入组织以壮大自身力量的目的。据悉，为推动其网络宣传攻势的开展，ISIS特意建立起一支专业高效的网络宣传队伍，以助其发布一些画面精良的视频和极富煽动力的文字、图片内容。另据《纽约时报》报道，ISIS成员甚至在青少年问答社交网络Ask.fm上开设专门模块用于回答青少年提出的各种问题。</w:t>
      </w:r>
      <w:r>
        <w:rPr>
          <w:rStyle w:val="12"/>
          <w:sz w:val="24"/>
        </w:rPr>
        <w:t>[</w:t>
      </w:r>
      <w:r>
        <w:rPr>
          <w:rStyle w:val="12"/>
          <w:sz w:val="24"/>
        </w:rPr>
        <w:footnoteReference w:id="100"/>
      </w:r>
      <w:r>
        <w:rPr>
          <w:rStyle w:val="12"/>
          <w:sz w:val="24"/>
        </w:rPr>
        <w:t>]</w:t>
      </w:r>
      <w:r>
        <w:rPr>
          <w:rFonts w:hint="eastAsia" w:ascii="宋体" w:hAnsi="宋体"/>
          <w:szCs w:val="21"/>
        </w:rPr>
        <w:t>这些网络宣传手段带来的成果是显而易见的，据说，有市民在日本的一些小超市里发现了张贴有ISIS招新的广告画。</w:t>
      </w:r>
      <w:r>
        <w:rPr>
          <w:rStyle w:val="12"/>
          <w:sz w:val="24"/>
        </w:rPr>
        <w:t>[</w:t>
      </w:r>
      <w:r>
        <w:rPr>
          <w:rStyle w:val="12"/>
          <w:sz w:val="24"/>
        </w:rPr>
        <w:footnoteReference w:id="101"/>
      </w:r>
      <w:r>
        <w:rPr>
          <w:rStyle w:val="12"/>
          <w:sz w:val="24"/>
        </w:rPr>
        <w:t>]</w:t>
      </w:r>
      <w:r>
        <w:rPr>
          <w:rFonts w:hint="eastAsia" w:ascii="宋体" w:hAnsi="宋体"/>
          <w:szCs w:val="21"/>
        </w:rPr>
        <w:t>更令人担忧的是，ISIS面向全球发布的招聘广告说“你不用做太多，不错的薪水，包吃包住。”</w:t>
      </w:r>
      <w:r>
        <w:rPr>
          <w:rStyle w:val="12"/>
          <w:sz w:val="24"/>
        </w:rPr>
        <w:t>[</w:t>
      </w:r>
      <w:r>
        <w:rPr>
          <w:rStyle w:val="12"/>
          <w:sz w:val="24"/>
        </w:rPr>
        <w:footnoteReference w:id="102"/>
      </w:r>
      <w:r>
        <w:rPr>
          <w:rStyle w:val="12"/>
          <w:sz w:val="24"/>
        </w:rPr>
        <w:t>]</w:t>
      </w:r>
      <w:r>
        <w:rPr>
          <w:rFonts w:hint="eastAsia" w:ascii="宋体" w:hAnsi="宋体"/>
          <w:szCs w:val="21"/>
        </w:rPr>
        <w:t>即便无关乎宗教信仰，对于那些失业的、生活失意的或境外的年轻穆斯林来说，ISIS承诺的优厚待遇也是极具诱惑力的。这大概也是为什么各国都出现了个别国民离开本国和自己的家庭进入叙利亚成为恐怖组织成员的现象。</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如果说ISIS在现实世界的行动是残暴恐怖的，那么它在网络世界的活动就更加可怕而且后患无穷。因为现实的恐怖袭击尚且易于打击和抵抗，但是存在在于网络中的恐怖信息和恐怖主义苗头就有如空气中的病毒，难以针对性地予以遏制和消灭。普通的封号措施并不能有效解决这一问题，注销其一个账号它还会很快开设更多新账号，非但治标不治本，还有可能加快其传播速度。这就说明，网络反恐更需要在技术和立法层面上寻求突破。故而，如何推进更为有效地网络反恐应是各国接下来关注和加强国际合作的重点领域。</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纵观ISIS的网络活动轨迹，我们不妨从以下几方面着手寻求新形势下反恐措施的突破：</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宋体" w:hAnsi="宋体"/>
          <w:b/>
          <w:sz w:val="24"/>
        </w:rPr>
      </w:pPr>
      <w:r>
        <w:rPr>
          <w:rFonts w:hint="eastAsia" w:ascii="宋体" w:hAnsi="宋体"/>
          <w:b/>
          <w:sz w:val="24"/>
        </w:rPr>
        <w:t>（一）加快网络反恐立法</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对于网络上流传的恐怖信息，常有尚未形成正确世界观的年轻人为追求刺激和酷炫感，或一些网站为追求访问量和点击率而大肆转发。此举无形之中推动了恐怖思想的传播，也使得这种毒素迅速在年轻人群体中扩散开来，影响其正确的认知和判断，而使大量年轻人因此误入歧途。因此，必须动用立法手段遏制和打击网络恐怖主义。通过立法，对有组织的网络恐怖主义活动和极端人士自发的网络恐怖主义行为建立相应的罪名和罚则，进而加大网络反恐的力度，警示网民远离网络恐怖主义，切实保护网络安全。</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宋体" w:hAnsi="宋体"/>
          <w:b/>
          <w:sz w:val="24"/>
        </w:rPr>
      </w:pPr>
      <w:r>
        <w:rPr>
          <w:rFonts w:hint="eastAsia" w:ascii="宋体" w:hAnsi="宋体"/>
          <w:b/>
          <w:sz w:val="24"/>
        </w:rPr>
        <w:t>（二）加强网站管理</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加强互联网信息管理责任的落实，对多次发布、传播恐怖信息的网站严格追究责任，追查网站经营者身份，对问题网站予以及时惩处、关闭。</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推动网络实名制，以相应法规约束网民在入网、注册环境验证真实身份信息，在保护网民个人隐私等合法权益的同时，一来可以从源头规范网络行为，二来可以在网络恐怖主义出现时及时追查到个人。如此一来便可有效压缩恐怖主义的网络活动空间，那么网络恐怖主义也将得以有效地遏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宋体" w:hAnsi="宋体"/>
          <w:b/>
          <w:sz w:val="24"/>
        </w:rPr>
      </w:pPr>
      <w:r>
        <w:rPr>
          <w:rFonts w:hint="eastAsia" w:ascii="宋体" w:hAnsi="宋体"/>
          <w:b/>
          <w:sz w:val="24"/>
        </w:rPr>
        <w:t>（三）建立专门网络反恐机构</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当前各国的网络反恐主要由侦查机关或情报部门等的网络监察部门负责，但由于这些部门的工作与网络反恐的高精度、高强度、专业性等要求不能完全相符，在工作执行中也就相较狡猾而专业的网络恐怖主义分子处于劣势，十分不利于网络反恐工作的开展。因而建立专门的网络反恐机构是十分必要的。一方面，各国都应有各自独立的网络反恐机构，由专业技术人员组成，能够针对可能出现的种种网络恐怖行为予以及时打击和制止。另一方面，因为网络世界难以划分国界，为有效拦截和打击网络恐怖主义，各国的网络反恐机构应在技术上和行动上寻求积极的合作互助。</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宋体" w:hAnsi="宋体"/>
          <w:b/>
          <w:sz w:val="24"/>
        </w:rPr>
      </w:pPr>
      <w:r>
        <w:rPr>
          <w:rFonts w:hint="eastAsia" w:ascii="宋体" w:hAnsi="宋体"/>
          <w:b/>
          <w:sz w:val="24"/>
        </w:rPr>
        <w:t>（四）完善网络反恐机制</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网络反恐还应注重进一步完善网络反恐机制，注意将恐怖主义的现实活动和其网络动态联系起来，寻找其内在规律，力求实现对恐怖分子现实和网络活动的双向预测。在具体工作上，明确各部门在网络反恐工作中的具体责任、具体任务，设置简明有力的上下级工作关系，尽量减少工作交叉点，简化信息内部沟通、传达的程序，保证情报信息流转渠道的畅通。</w:t>
      </w:r>
      <w:r>
        <w:rPr>
          <w:rStyle w:val="12"/>
          <w:sz w:val="24"/>
        </w:rPr>
        <w:t>[</w:t>
      </w:r>
      <w:r>
        <w:rPr>
          <w:rStyle w:val="12"/>
          <w:sz w:val="24"/>
        </w:rPr>
        <w:footnoteReference w:id="103"/>
      </w:r>
      <w:r>
        <w:rPr>
          <w:rStyle w:val="12"/>
          <w:sz w:val="24"/>
        </w:rPr>
        <w:t>]</w:t>
      </w:r>
      <w:r>
        <w:rPr>
          <w:rFonts w:hint="eastAsia" w:ascii="宋体" w:hAnsi="宋体"/>
          <w:szCs w:val="21"/>
        </w:rPr>
        <w:t>促使网络监控、情报侦察、监察管理、技术侦破等各部门工作相互协调、高效有序、优势互补。促进网络反恐工作整体有效性和有力性的提高。</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宋体" w:hAnsi="宋体"/>
          <w:b/>
          <w:sz w:val="24"/>
        </w:rPr>
      </w:pPr>
      <w:r>
        <w:rPr>
          <w:rFonts w:hint="eastAsia" w:ascii="宋体" w:hAnsi="宋体"/>
          <w:b/>
          <w:sz w:val="24"/>
        </w:rPr>
        <w:t>（五）利用网民力量</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如果说网络世界是个海洋，那么网民就是海洋里的水，是赋予这个海洋意义的无数个体。实现对恐怖主义的网络监管和网上打击，只谈监管机构是不够的，归根结底还是要靠网民的力量。因此当务之急应是通过网络的正面宣传强化网民的正义观价值观，充分调动网民的反恐积极性。一则可以防止恐怖思想通过网络侵害网民，二来可以运用网民力量在网络恐怖主义现身的第一时间及时发现并举报给网络反恐的专门机构，实现及时打击和遏制，将网络恐怖主义的威胁降至最低。</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jc w:val="both"/>
        <w:textAlignment w:val="auto"/>
        <w:outlineLvl w:val="9"/>
        <w:rPr>
          <w:rFonts w:hint="eastAsia" w:ascii="宋体" w:hAnsi="宋体"/>
          <w:b/>
          <w:sz w:val="24"/>
        </w:rPr>
      </w:pPr>
      <w:r>
        <w:rPr>
          <w:rFonts w:hint="eastAsia" w:ascii="宋体" w:hAnsi="宋体"/>
          <w:b/>
          <w:sz w:val="24"/>
        </w:rPr>
        <w:t>（六）加强国际网络合作</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2014年第68届联合国大会进行《联合国全球反恐战略》第四次评审并通过决议，首次在全球反恐战略框架内写入打击网络恐怖主义的内容。这表明国际社会对网络恐怖主义的危害和加强打击网络恐怖主义的国际合作的重要性已具备一定的共识。对待这样一个世界范围的网络安全问题，各国应在立法、司法、反恐情报等各个领域同时加强交流、合作，共同保证情报获取、分析技术手段上的相互支持，保证信息交流传达渠道的畅通，建立跨境打击的技术支持和助力模式，探寻多方面开展网络反恐的国际合作。</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88" w:lineRule="auto"/>
        <w:ind w:leftChars="0" w:right="0" w:rightChars="0"/>
        <w:jc w:val="center"/>
        <w:textAlignment w:val="auto"/>
        <w:outlineLvl w:val="9"/>
        <w:rPr>
          <w:rFonts w:hint="eastAsia" w:ascii="黑体" w:hAnsi="黑体" w:eastAsia="黑体" w:cs="黑体"/>
          <w:b/>
          <w:sz w:val="28"/>
          <w:szCs w:val="28"/>
        </w:rPr>
      </w:pPr>
      <w:r>
        <w:rPr>
          <w:rFonts w:hint="eastAsia" w:ascii="黑体" w:hAnsi="黑体" w:eastAsia="黑体" w:cs="黑体"/>
          <w:b/>
          <w:sz w:val="28"/>
          <w:szCs w:val="28"/>
        </w:rPr>
        <w:t>结语</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近年来，恐怖主义暴力活动呈现多发趋势，恐怖活动手段也与高新技术不断结合，仍然墨守成规采用传统的老办法反恐，或是一味地只顾本国利益，都是十分被动且不利的。对付新形势下如ISIS一类的新兴恐怖主义，也应当与时俱进，一方面探索新技术新方法，另一方面寻求更为紧密、明确的国际合作。当下各国应注重加强在反恐行动上的沟通交流，充分发挥各国优势，以整体眼光审视国际环境的安全问题，切实提高各国单独以及共同应对现实恐怖主义和网络恐怖主义的能力，共同营造一个相对和平、安全的国际环境。</w:t>
      </w: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420" w:firstLineChars="200"/>
        <w:jc w:val="both"/>
        <w:textAlignment w:val="auto"/>
        <w:outlineLvl w:val="9"/>
        <w:rPr>
          <w:rFonts w:hint="eastAsia" w:ascii="宋体" w:hAnsi="宋体"/>
          <w:sz w:val="21"/>
          <w:szCs w:val="21"/>
        </w:rPr>
      </w:pPr>
    </w:p>
    <w:p>
      <w:pPr>
        <w:keepNext w:val="0"/>
        <w:keepLines w:val="0"/>
        <w:pageBreakBefore w:val="0"/>
        <w:widowControl w:val="0"/>
        <w:kinsoku/>
        <w:wordWrap/>
        <w:overflowPunct/>
        <w:topLinePunct w:val="0"/>
        <w:autoSpaceDE/>
        <w:autoSpaceDN/>
        <w:bidi w:val="0"/>
        <w:adjustRightInd w:val="0"/>
        <w:snapToGrid w:val="0"/>
        <w:spacing w:line="288" w:lineRule="auto"/>
        <w:ind w:left="0" w:leftChars="0" w:right="0" w:rightChars="0" w:firstLine="0" w:firstLineChars="0"/>
        <w:jc w:val="center"/>
        <w:textAlignment w:val="auto"/>
        <w:outlineLvl w:val="9"/>
        <w:rPr>
          <w:rFonts w:hint="eastAsia"/>
          <w:sz w:val="21"/>
          <w:szCs w:val="21"/>
        </w:rPr>
      </w:pPr>
      <w:r>
        <w:rPr>
          <w:rFonts w:hint="eastAsia" w:ascii="黑体" w:hAnsi="黑体" w:eastAsia="黑体" w:cs="黑体"/>
          <w:b/>
          <w:bCs/>
          <w:sz w:val="28"/>
          <w:szCs w:val="28"/>
        </w:rPr>
        <w:t>参考文献</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[1]</w:t>
      </w:r>
      <w:r>
        <w:rPr>
          <w:rFonts w:ascii="宋体" w:hAnsi="宋体"/>
          <w:sz w:val="21"/>
          <w:szCs w:val="21"/>
        </w:rPr>
        <w:t xml:space="preserve"> </w:t>
      </w:r>
      <w:r>
        <w:rPr>
          <w:rFonts w:ascii="宋体" w:hAnsi="宋体"/>
          <w:sz w:val="21"/>
          <w:szCs w:val="21"/>
        </w:rPr>
        <w:fldChar w:fldCharType="begin"/>
      </w:r>
      <w:r>
        <w:rPr>
          <w:rFonts w:ascii="宋体" w:hAnsi="宋体"/>
          <w:sz w:val="21"/>
          <w:szCs w:val="21"/>
        </w:rPr>
        <w:instrText xml:space="preserve"> HYPERLINK "http://www.zhihu.com/question/24788456/answer/31990163" </w:instrText>
      </w:r>
      <w:r>
        <w:rPr>
          <w:rFonts w:ascii="宋体" w:hAnsi="宋体"/>
          <w:sz w:val="21"/>
          <w:szCs w:val="21"/>
        </w:rPr>
        <w:fldChar w:fldCharType="separate"/>
      </w:r>
      <w:r>
        <w:rPr>
          <w:rFonts w:ascii="宋体" w:hAnsi="宋体"/>
          <w:sz w:val="21"/>
          <w:szCs w:val="21"/>
        </w:rPr>
        <w:t>http://www.zhihu.com/question/24788456/answer/31990163</w:t>
      </w:r>
      <w:r>
        <w:rPr>
          <w:rFonts w:ascii="宋体" w:hAnsi="宋体"/>
          <w:sz w:val="21"/>
          <w:szCs w:val="21"/>
        </w:rPr>
        <w:fldChar w:fldCharType="end"/>
      </w:r>
      <w:r>
        <w:rPr>
          <w:rFonts w:hint="eastAsia" w:ascii="宋体" w:hAnsi="宋体"/>
          <w:sz w:val="21"/>
          <w:szCs w:val="21"/>
        </w:rPr>
        <w:t>.</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[2]</w:t>
      </w:r>
      <w:r>
        <w:rPr>
          <w:rFonts w:ascii="宋体" w:hAnsi="宋体"/>
          <w:sz w:val="21"/>
          <w:szCs w:val="21"/>
        </w:rPr>
        <w:t xml:space="preserve"> </w:t>
      </w:r>
      <w:r>
        <w:rPr>
          <w:rFonts w:hint="eastAsia" w:ascii="宋体" w:hAnsi="宋体"/>
          <w:sz w:val="21"/>
          <w:szCs w:val="21"/>
        </w:rPr>
        <w:t>若英，ISIS组织是什么？[J]，红旗文稿，2014(16).</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[3]</w:t>
      </w:r>
      <w:r>
        <w:rPr>
          <w:rFonts w:ascii="宋体" w:hAnsi="宋体"/>
          <w:sz w:val="21"/>
          <w:szCs w:val="21"/>
        </w:rPr>
        <w:t xml:space="preserve"> </w:t>
      </w:r>
      <w:r>
        <w:rPr>
          <w:rFonts w:hint="eastAsia" w:ascii="宋体" w:hAnsi="宋体"/>
          <w:sz w:val="21"/>
          <w:szCs w:val="21"/>
        </w:rPr>
        <w:t>张金平，从三年到三个月：ISIS开启“恐怖主义新纪元”[J]，世界知识，2014(17).</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 xml:space="preserve">[4] </w:t>
      </w:r>
      <w:r>
        <w:rPr>
          <w:rFonts w:ascii="宋体" w:hAnsi="宋体"/>
          <w:sz w:val="21"/>
          <w:szCs w:val="21"/>
        </w:rPr>
        <w:fldChar w:fldCharType="begin"/>
      </w:r>
      <w:r>
        <w:rPr>
          <w:rFonts w:ascii="宋体" w:hAnsi="宋体"/>
          <w:sz w:val="21"/>
          <w:szCs w:val="21"/>
        </w:rPr>
        <w:instrText xml:space="preserve"> HYPERLINK "http://www.vccoo.com/v/1ad643" </w:instrText>
      </w:r>
      <w:r>
        <w:rPr>
          <w:rFonts w:ascii="宋体" w:hAnsi="宋体"/>
          <w:sz w:val="21"/>
          <w:szCs w:val="21"/>
        </w:rPr>
        <w:fldChar w:fldCharType="separate"/>
      </w:r>
      <w:r>
        <w:rPr>
          <w:rFonts w:ascii="宋体" w:hAnsi="宋体"/>
          <w:sz w:val="21"/>
          <w:szCs w:val="21"/>
        </w:rPr>
        <w:t>http://www.vccoo.com/v/1ad643</w:t>
      </w:r>
      <w:r>
        <w:rPr>
          <w:rFonts w:ascii="宋体" w:hAnsi="宋体"/>
          <w:sz w:val="21"/>
          <w:szCs w:val="21"/>
        </w:rPr>
        <w:fldChar w:fldCharType="end"/>
      </w:r>
      <w:r>
        <w:rPr>
          <w:rFonts w:hint="eastAsia" w:ascii="宋体" w:hAnsi="宋体"/>
          <w:sz w:val="21"/>
          <w:szCs w:val="21"/>
        </w:rPr>
        <w:t>.</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[5]</w:t>
      </w:r>
      <w:r>
        <w:rPr>
          <w:rFonts w:ascii="宋体" w:hAnsi="宋体"/>
          <w:sz w:val="21"/>
          <w:szCs w:val="21"/>
        </w:rPr>
        <w:fldChar w:fldCharType="begin"/>
      </w:r>
      <w:r>
        <w:rPr>
          <w:rFonts w:ascii="宋体" w:hAnsi="宋体"/>
          <w:sz w:val="21"/>
          <w:szCs w:val="21"/>
        </w:rPr>
        <w:instrText xml:space="preserve"> HYPERLINK "</w:instrText>
      </w:r>
      <w:r>
        <w:rPr>
          <w:rFonts w:hint="eastAsia" w:ascii="宋体" w:hAnsi="宋体"/>
          <w:sz w:val="21"/>
          <w:szCs w:val="21"/>
        </w:rPr>
        <w:instrText xml:space="preserve">h</w:instrText>
      </w:r>
      <w:r>
        <w:rPr>
          <w:rFonts w:ascii="宋体" w:hAnsi="宋体"/>
          <w:sz w:val="21"/>
          <w:szCs w:val="21"/>
        </w:rPr>
        <w:instrText xml:space="preserve">ttp://baike.baidu.com/link?url=jo9Pl-J8q2B9mBT2nI1NKEoRxOO-Z9HjkxGSwR-fsEg2ZnT96EBISD-vOoC5V8fcaTV-9fr2BiI6OZNXUFVETxYCOFywKyEC62NPKN5Tsg3IYrYxYSFL3U0XBsATl60vx93BtPrfrEjYCzs-wFQH2q" </w:instrText>
      </w:r>
      <w:r>
        <w:rPr>
          <w:rFonts w:ascii="宋体" w:hAnsi="宋体"/>
          <w:sz w:val="21"/>
          <w:szCs w:val="21"/>
        </w:rPr>
        <w:fldChar w:fldCharType="separate"/>
      </w:r>
      <w:r>
        <w:rPr>
          <w:rFonts w:hint="eastAsia" w:ascii="宋体" w:hAnsi="宋体"/>
          <w:sz w:val="21"/>
          <w:szCs w:val="21"/>
        </w:rPr>
        <w:t>h</w:t>
      </w:r>
      <w:r>
        <w:rPr>
          <w:rFonts w:ascii="宋体" w:hAnsi="宋体"/>
          <w:sz w:val="21"/>
          <w:szCs w:val="21"/>
        </w:rPr>
        <w:t>ttp://baike.baidu.com/link?url=jo9Pl-J8q2B9mBT2nI1NKEoRxOO-Z9HjkxGSwR-fsEg2ZnT96EBISD-vOoC5V8fcaTV-9fr2BiI6OZNXUFVETxYCOFywKyEC62NPKN5Tsg3IYrYxYSFL3U0XBsATl60vx93BtPrfrEjYCzs-wFQH2q</w:t>
      </w:r>
      <w:r>
        <w:rPr>
          <w:rFonts w:ascii="宋体" w:hAnsi="宋体"/>
          <w:sz w:val="21"/>
          <w:szCs w:val="21"/>
        </w:rPr>
        <w:fldChar w:fldCharType="end"/>
      </w:r>
      <w:r>
        <w:rPr>
          <w:rFonts w:hint="eastAsia" w:ascii="宋体" w:hAnsi="宋体"/>
          <w:sz w:val="21"/>
          <w:szCs w:val="21"/>
        </w:rPr>
        <w:t>.</w:t>
      </w:r>
    </w:p>
    <w:p>
      <w:pPr>
        <w:pStyle w:val="7"/>
        <w:keepNext w:val="0"/>
        <w:keepLines w:val="0"/>
        <w:pageBreakBefore w:val="0"/>
        <w:widowControl w:val="0"/>
        <w:kinsoku/>
        <w:wordWrap/>
        <w:overflowPunct/>
        <w:topLinePunct w:val="0"/>
        <w:autoSpaceDE/>
        <w:autoSpaceDN/>
        <w:bidi w:val="0"/>
        <w:adjustRightInd/>
        <w:snapToGrid w:val="0"/>
        <w:spacing w:line="288" w:lineRule="auto"/>
        <w:ind w:right="0" w:rightChars="0"/>
        <w:jc w:val="left"/>
        <w:textAlignment w:val="auto"/>
        <w:outlineLvl w:val="9"/>
        <w:rPr>
          <w:rFonts w:hint="eastAsia" w:ascii="宋体" w:hAnsi="宋体"/>
          <w:sz w:val="21"/>
          <w:szCs w:val="21"/>
        </w:rPr>
      </w:pPr>
      <w:r>
        <w:rPr>
          <w:rFonts w:hint="eastAsia" w:ascii="宋体" w:hAnsi="宋体"/>
          <w:sz w:val="21"/>
          <w:szCs w:val="21"/>
        </w:rPr>
        <w:t>[6]</w:t>
      </w:r>
      <w:r>
        <w:rPr>
          <w:rStyle w:val="12"/>
          <w:rFonts w:ascii="宋体" w:hAnsi="宋体"/>
          <w:sz w:val="21"/>
          <w:szCs w:val="21"/>
        </w:rPr>
        <w:t xml:space="preserve"> </w:t>
      </w:r>
      <w:r>
        <w:rPr>
          <w:rFonts w:ascii="宋体" w:hAnsi="宋体"/>
          <w:sz w:val="21"/>
          <w:szCs w:val="21"/>
        </w:rPr>
        <w:fldChar w:fldCharType="begin"/>
      </w:r>
      <w:r>
        <w:rPr>
          <w:rFonts w:ascii="宋体" w:hAnsi="宋体"/>
          <w:sz w:val="21"/>
          <w:szCs w:val="21"/>
        </w:rPr>
        <w:instrText xml:space="preserve"> HYPERLINK "http://news.163.com/14/0817/22/A3SOS3FA0001121M.html" </w:instrText>
      </w:r>
      <w:r>
        <w:rPr>
          <w:rFonts w:ascii="宋体" w:hAnsi="宋体"/>
          <w:sz w:val="21"/>
          <w:szCs w:val="21"/>
        </w:rPr>
        <w:fldChar w:fldCharType="separate"/>
      </w:r>
      <w:r>
        <w:rPr>
          <w:rFonts w:ascii="宋体" w:hAnsi="宋体"/>
          <w:sz w:val="21"/>
          <w:szCs w:val="21"/>
        </w:rPr>
        <w:t>http://news.163.com/14/0817/22/A3SOS3FA0001121M.html</w:t>
      </w:r>
      <w:r>
        <w:rPr>
          <w:rFonts w:ascii="宋体" w:hAnsi="宋体"/>
          <w:sz w:val="21"/>
          <w:szCs w:val="21"/>
        </w:rPr>
        <w:fldChar w:fldCharType="end"/>
      </w:r>
      <w:r>
        <w:rPr>
          <w:rFonts w:hint="eastAsia" w:ascii="宋体" w:hAnsi="宋体"/>
          <w:sz w:val="21"/>
          <w:szCs w:val="21"/>
        </w:rPr>
        <w:t>.</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[7]</w:t>
      </w:r>
      <w:r>
        <w:rPr>
          <w:rFonts w:ascii="宋体" w:hAnsi="宋体"/>
          <w:sz w:val="21"/>
          <w:szCs w:val="21"/>
        </w:rPr>
        <w:t xml:space="preserve"> </w:t>
      </w:r>
      <w:r>
        <w:rPr>
          <w:rFonts w:ascii="宋体" w:hAnsi="宋体"/>
          <w:sz w:val="21"/>
          <w:szCs w:val="21"/>
        </w:rPr>
        <w:fldChar w:fldCharType="begin"/>
      </w:r>
      <w:r>
        <w:rPr>
          <w:rFonts w:ascii="宋体" w:hAnsi="宋体"/>
          <w:sz w:val="21"/>
          <w:szCs w:val="21"/>
        </w:rPr>
        <w:instrText xml:space="preserve"> HYPERLINK "http://news.sina.com.cn/w/2014-10-06/222030952352.shtml" </w:instrText>
      </w:r>
      <w:r>
        <w:rPr>
          <w:rFonts w:ascii="宋体" w:hAnsi="宋体"/>
          <w:sz w:val="21"/>
          <w:szCs w:val="21"/>
        </w:rPr>
        <w:fldChar w:fldCharType="separate"/>
      </w:r>
      <w:r>
        <w:rPr>
          <w:rFonts w:ascii="宋体" w:hAnsi="宋体"/>
          <w:sz w:val="21"/>
          <w:szCs w:val="21"/>
        </w:rPr>
        <w:t>http://news.sina.com.cn/w/2014-10-06/222030952352.shtml</w:t>
      </w:r>
      <w:r>
        <w:rPr>
          <w:rFonts w:ascii="宋体" w:hAnsi="宋体"/>
          <w:sz w:val="21"/>
          <w:szCs w:val="21"/>
        </w:rPr>
        <w:fldChar w:fldCharType="end"/>
      </w:r>
      <w:r>
        <w:rPr>
          <w:rFonts w:hint="eastAsia" w:ascii="宋体" w:hAnsi="宋体"/>
          <w:sz w:val="21"/>
          <w:szCs w:val="21"/>
        </w:rPr>
        <w:t>.</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[8]</w:t>
      </w:r>
      <w:r>
        <w:rPr>
          <w:rFonts w:ascii="宋体" w:hAnsi="宋体"/>
          <w:sz w:val="21"/>
          <w:szCs w:val="21"/>
        </w:rPr>
        <w:t xml:space="preserve"> </w:t>
      </w:r>
      <w:r>
        <w:rPr>
          <w:rFonts w:ascii="宋体" w:hAnsi="宋体"/>
          <w:sz w:val="21"/>
          <w:szCs w:val="21"/>
        </w:rPr>
        <w:fldChar w:fldCharType="begin"/>
      </w:r>
      <w:r>
        <w:rPr>
          <w:rFonts w:ascii="宋体" w:hAnsi="宋体"/>
          <w:sz w:val="21"/>
          <w:szCs w:val="21"/>
        </w:rPr>
        <w:instrText xml:space="preserve"> HYPERLINK "http://world.huanqiu.com/exclusive/2015-11/7979205.html" </w:instrText>
      </w:r>
      <w:r>
        <w:rPr>
          <w:rFonts w:ascii="宋体" w:hAnsi="宋体"/>
          <w:sz w:val="21"/>
          <w:szCs w:val="21"/>
        </w:rPr>
        <w:fldChar w:fldCharType="separate"/>
      </w:r>
      <w:r>
        <w:rPr>
          <w:rFonts w:ascii="宋体" w:hAnsi="宋体"/>
          <w:sz w:val="21"/>
          <w:szCs w:val="21"/>
        </w:rPr>
        <w:t>http://world.huanqiu.com/exclusive/2015-11/7979205.html</w:t>
      </w:r>
      <w:r>
        <w:rPr>
          <w:rFonts w:ascii="宋体" w:hAnsi="宋体"/>
          <w:sz w:val="21"/>
          <w:szCs w:val="21"/>
        </w:rPr>
        <w:fldChar w:fldCharType="end"/>
      </w:r>
      <w:r>
        <w:rPr>
          <w:rFonts w:hint="eastAsia" w:ascii="宋体" w:hAnsi="宋体"/>
          <w:sz w:val="21"/>
          <w:szCs w:val="21"/>
        </w:rPr>
        <w:t>.</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[9]</w:t>
      </w:r>
      <w:r>
        <w:rPr>
          <w:rFonts w:ascii="宋体" w:hAnsi="宋体"/>
          <w:sz w:val="21"/>
          <w:szCs w:val="21"/>
        </w:rPr>
        <w:t xml:space="preserve"> </w:t>
      </w:r>
      <w:r>
        <w:rPr>
          <w:rFonts w:ascii="宋体" w:hAnsi="宋体"/>
          <w:sz w:val="21"/>
          <w:szCs w:val="21"/>
        </w:rPr>
        <w:fldChar w:fldCharType="begin"/>
      </w:r>
      <w:r>
        <w:rPr>
          <w:rFonts w:ascii="宋体" w:hAnsi="宋体"/>
          <w:sz w:val="21"/>
          <w:szCs w:val="21"/>
        </w:rPr>
        <w:instrText xml:space="preserve"> HYPERLINK "http://news.163.com/15/1119/10/B8PCQ7SA0001124J.html?baike" </w:instrText>
      </w:r>
      <w:r>
        <w:rPr>
          <w:rFonts w:ascii="宋体" w:hAnsi="宋体"/>
          <w:sz w:val="21"/>
          <w:szCs w:val="21"/>
        </w:rPr>
        <w:fldChar w:fldCharType="separate"/>
      </w:r>
      <w:r>
        <w:rPr>
          <w:rFonts w:ascii="宋体" w:hAnsi="宋体"/>
          <w:sz w:val="21"/>
          <w:szCs w:val="21"/>
        </w:rPr>
        <w:t>http://news.163.com/15/1119/10/B8PCQ7SA0001124J.html?baike</w:t>
      </w:r>
      <w:r>
        <w:rPr>
          <w:rFonts w:ascii="宋体" w:hAnsi="宋体"/>
          <w:sz w:val="21"/>
          <w:szCs w:val="21"/>
        </w:rPr>
        <w:fldChar w:fldCharType="end"/>
      </w:r>
      <w:r>
        <w:rPr>
          <w:rFonts w:hint="eastAsia" w:ascii="宋体" w:hAnsi="宋体"/>
          <w:sz w:val="21"/>
          <w:szCs w:val="21"/>
        </w:rPr>
        <w:t>.</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[10]</w:t>
      </w:r>
      <w:r>
        <w:rPr>
          <w:rFonts w:ascii="宋体" w:hAnsi="宋体"/>
          <w:sz w:val="21"/>
          <w:szCs w:val="21"/>
        </w:rPr>
        <w:fldChar w:fldCharType="begin"/>
      </w:r>
      <w:r>
        <w:rPr>
          <w:rFonts w:ascii="宋体" w:hAnsi="宋体"/>
          <w:sz w:val="21"/>
          <w:szCs w:val="21"/>
        </w:rPr>
        <w:instrText xml:space="preserve"> HYPERLINK "http://news.163.com/15/1206/01/BA493Q9R00014AED.html" </w:instrText>
      </w:r>
      <w:r>
        <w:rPr>
          <w:rFonts w:ascii="宋体" w:hAnsi="宋体"/>
          <w:sz w:val="21"/>
          <w:szCs w:val="21"/>
        </w:rPr>
        <w:fldChar w:fldCharType="separate"/>
      </w:r>
      <w:r>
        <w:rPr>
          <w:rFonts w:ascii="宋体" w:hAnsi="宋体"/>
          <w:sz w:val="21"/>
          <w:szCs w:val="21"/>
        </w:rPr>
        <w:t>http://news.163.com/15/1206/01/BA493Q9R00014AED.html</w:t>
      </w:r>
      <w:r>
        <w:rPr>
          <w:rFonts w:ascii="宋体" w:hAnsi="宋体"/>
          <w:sz w:val="21"/>
          <w:szCs w:val="21"/>
        </w:rPr>
        <w:fldChar w:fldCharType="end"/>
      </w:r>
      <w:r>
        <w:rPr>
          <w:rFonts w:hint="eastAsia" w:ascii="宋体" w:hAnsi="宋体"/>
          <w:sz w:val="21"/>
          <w:szCs w:val="21"/>
        </w:rPr>
        <w:t>.</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[11]</w:t>
      </w:r>
      <w:r>
        <w:rPr>
          <w:rFonts w:ascii="宋体" w:hAnsi="宋体"/>
          <w:sz w:val="21"/>
          <w:szCs w:val="21"/>
        </w:rPr>
        <w:t xml:space="preserve"> </w:t>
      </w:r>
      <w:r>
        <w:rPr>
          <w:rFonts w:hint="eastAsia" w:ascii="宋体" w:hAnsi="宋体"/>
          <w:sz w:val="21"/>
          <w:szCs w:val="21"/>
        </w:rPr>
        <w:t>谢玮，巴黎恐怖事件后的欧洲[J]，中国经济周刊，2014</w:t>
      </w:r>
      <w:r>
        <w:rPr>
          <w:rFonts w:ascii="宋体" w:hAnsi="宋体" w:cs="Hiragino Sans GB"/>
          <w:color w:val="3E3E3E"/>
          <w:sz w:val="21"/>
          <w:szCs w:val="21"/>
          <w:shd w:val="clear" w:color="auto" w:fill="FFFFFF"/>
        </w:rPr>
        <w:t>-</w:t>
      </w:r>
      <w:r>
        <w:rPr>
          <w:rFonts w:hint="eastAsia" w:ascii="宋体" w:hAnsi="宋体"/>
          <w:sz w:val="21"/>
          <w:szCs w:val="21"/>
        </w:rPr>
        <w:t>11</w:t>
      </w:r>
      <w:r>
        <w:rPr>
          <w:rFonts w:ascii="宋体" w:hAnsi="宋体" w:cs="Hiragino Sans GB"/>
          <w:color w:val="3E3E3E"/>
          <w:sz w:val="21"/>
          <w:szCs w:val="21"/>
          <w:shd w:val="clear" w:color="auto" w:fill="FFFFFF"/>
        </w:rPr>
        <w:t>-</w:t>
      </w:r>
      <w:r>
        <w:rPr>
          <w:rFonts w:hint="eastAsia" w:ascii="宋体" w:hAnsi="宋体"/>
          <w:sz w:val="21"/>
          <w:szCs w:val="21"/>
        </w:rPr>
        <w:t>13(6).</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[12]</w:t>
      </w:r>
      <w:r>
        <w:rPr>
          <w:rFonts w:ascii="宋体" w:hAnsi="宋体"/>
          <w:sz w:val="21"/>
          <w:szCs w:val="21"/>
        </w:rPr>
        <w:fldChar w:fldCharType="begin"/>
      </w:r>
      <w:r>
        <w:rPr>
          <w:rFonts w:ascii="宋体" w:hAnsi="宋体"/>
          <w:sz w:val="21"/>
          <w:szCs w:val="21"/>
        </w:rPr>
        <w:instrText xml:space="preserve"> HYPERLINK "http://news.163.com/14/1107/16/AAF8LF7N00014JB6.html" </w:instrText>
      </w:r>
      <w:r>
        <w:rPr>
          <w:rFonts w:ascii="宋体" w:hAnsi="宋体"/>
          <w:sz w:val="21"/>
          <w:szCs w:val="21"/>
        </w:rPr>
        <w:fldChar w:fldCharType="separate"/>
      </w:r>
      <w:r>
        <w:rPr>
          <w:rFonts w:ascii="宋体" w:hAnsi="宋体"/>
          <w:sz w:val="21"/>
          <w:szCs w:val="21"/>
        </w:rPr>
        <w:t>http://news.163.com/14/1107/16/AAF8LF7N00014JB6.html</w:t>
      </w:r>
      <w:r>
        <w:rPr>
          <w:rFonts w:ascii="宋体" w:hAnsi="宋体"/>
          <w:sz w:val="21"/>
          <w:szCs w:val="21"/>
        </w:rPr>
        <w:fldChar w:fldCharType="end"/>
      </w:r>
      <w:r>
        <w:rPr>
          <w:rFonts w:hint="eastAsia" w:ascii="宋体" w:hAnsi="宋体"/>
          <w:sz w:val="21"/>
          <w:szCs w:val="21"/>
        </w:rPr>
        <w:t>.</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[13]</w:t>
      </w:r>
      <w:r>
        <w:rPr>
          <w:rFonts w:ascii="宋体" w:hAnsi="宋体"/>
          <w:sz w:val="21"/>
          <w:szCs w:val="21"/>
        </w:rPr>
        <w:fldChar w:fldCharType="begin"/>
      </w:r>
      <w:r>
        <w:rPr>
          <w:rFonts w:ascii="宋体" w:hAnsi="宋体"/>
          <w:sz w:val="21"/>
          <w:szCs w:val="21"/>
        </w:rPr>
        <w:instrText xml:space="preserve"> HYPERLINK "http://news.163.com/14/1111/08/AAOOIAJ200014JB6.html" </w:instrText>
      </w:r>
      <w:r>
        <w:rPr>
          <w:rFonts w:ascii="宋体" w:hAnsi="宋体"/>
          <w:sz w:val="21"/>
          <w:szCs w:val="21"/>
        </w:rPr>
        <w:fldChar w:fldCharType="separate"/>
      </w:r>
      <w:r>
        <w:rPr>
          <w:rFonts w:ascii="宋体" w:hAnsi="宋体"/>
          <w:sz w:val="21"/>
          <w:szCs w:val="21"/>
        </w:rPr>
        <w:t>http://news.163.com/14/1111/08/AAOOIAJ200014JB6.html</w:t>
      </w:r>
      <w:r>
        <w:rPr>
          <w:rFonts w:ascii="宋体" w:hAnsi="宋体"/>
          <w:sz w:val="21"/>
          <w:szCs w:val="21"/>
        </w:rPr>
        <w:fldChar w:fldCharType="end"/>
      </w:r>
      <w:r>
        <w:rPr>
          <w:rFonts w:hint="eastAsia" w:ascii="宋体" w:hAnsi="宋体"/>
          <w:sz w:val="21"/>
          <w:szCs w:val="21"/>
        </w:rPr>
        <w:t>.</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[14]</w:t>
      </w:r>
      <w:r>
        <w:rPr>
          <w:rFonts w:ascii="宋体" w:hAnsi="宋体"/>
          <w:sz w:val="21"/>
          <w:szCs w:val="21"/>
        </w:rPr>
        <w:fldChar w:fldCharType="begin"/>
      </w:r>
      <w:r>
        <w:rPr>
          <w:rFonts w:ascii="宋体" w:hAnsi="宋体"/>
          <w:sz w:val="21"/>
          <w:szCs w:val="21"/>
        </w:rPr>
        <w:instrText xml:space="preserve"> HYPERLINK "http://news.china.com/hd/11127798/20151205/20878428_2.html" </w:instrText>
      </w:r>
      <w:r>
        <w:rPr>
          <w:rFonts w:ascii="宋体" w:hAnsi="宋体"/>
          <w:sz w:val="21"/>
          <w:szCs w:val="21"/>
        </w:rPr>
        <w:fldChar w:fldCharType="separate"/>
      </w:r>
      <w:r>
        <w:rPr>
          <w:rFonts w:ascii="宋体" w:hAnsi="宋体"/>
          <w:sz w:val="21"/>
          <w:szCs w:val="21"/>
        </w:rPr>
        <w:t>http://news.china.com/hd/11127798/20151205/20878428_2.html</w:t>
      </w:r>
      <w:r>
        <w:rPr>
          <w:rFonts w:ascii="宋体" w:hAnsi="宋体"/>
          <w:sz w:val="21"/>
          <w:szCs w:val="21"/>
        </w:rPr>
        <w:fldChar w:fldCharType="end"/>
      </w:r>
      <w:r>
        <w:rPr>
          <w:rFonts w:hint="eastAsia" w:ascii="宋体" w:hAnsi="宋体"/>
          <w:sz w:val="21"/>
          <w:szCs w:val="21"/>
        </w:rPr>
        <w:t>.</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[15]</w:t>
      </w:r>
      <w:r>
        <w:rPr>
          <w:rFonts w:ascii="宋体" w:hAnsi="宋体"/>
          <w:sz w:val="21"/>
          <w:szCs w:val="21"/>
        </w:rPr>
        <w:fldChar w:fldCharType="begin"/>
      </w:r>
      <w:r>
        <w:rPr>
          <w:rFonts w:ascii="宋体" w:hAnsi="宋体"/>
          <w:sz w:val="21"/>
          <w:szCs w:val="21"/>
        </w:rPr>
        <w:instrText xml:space="preserve"> HYPERLINK "http://www.ykcms.cn/news/world/3883.html" </w:instrText>
      </w:r>
      <w:r>
        <w:rPr>
          <w:rFonts w:ascii="宋体" w:hAnsi="宋体"/>
          <w:sz w:val="21"/>
          <w:szCs w:val="21"/>
        </w:rPr>
        <w:fldChar w:fldCharType="separate"/>
      </w:r>
      <w:r>
        <w:rPr>
          <w:rFonts w:ascii="宋体" w:hAnsi="宋体"/>
          <w:sz w:val="21"/>
          <w:szCs w:val="21"/>
        </w:rPr>
        <w:t>http://www.ykcms.cn/news/world/3883.html</w:t>
      </w:r>
      <w:r>
        <w:rPr>
          <w:rFonts w:ascii="宋体" w:hAnsi="宋体"/>
          <w:sz w:val="21"/>
          <w:szCs w:val="21"/>
        </w:rPr>
        <w:fldChar w:fldCharType="end"/>
      </w:r>
      <w:r>
        <w:rPr>
          <w:rFonts w:hint="eastAsia" w:ascii="宋体" w:hAnsi="宋体"/>
          <w:sz w:val="21"/>
          <w:szCs w:val="21"/>
        </w:rPr>
        <w:t>.</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[16]</w:t>
      </w:r>
      <w:r>
        <w:rPr>
          <w:rFonts w:ascii="宋体" w:hAnsi="宋体"/>
          <w:sz w:val="21"/>
          <w:szCs w:val="21"/>
        </w:rPr>
        <w:fldChar w:fldCharType="begin"/>
      </w:r>
      <w:r>
        <w:rPr>
          <w:rFonts w:ascii="宋体" w:hAnsi="宋体"/>
          <w:sz w:val="21"/>
          <w:szCs w:val="21"/>
        </w:rPr>
        <w:instrText xml:space="preserve"> HYPERLINK "http://news.qq.com/a/20150922/058339.htm" </w:instrText>
      </w:r>
      <w:r>
        <w:rPr>
          <w:rFonts w:ascii="宋体" w:hAnsi="宋体"/>
          <w:sz w:val="21"/>
          <w:szCs w:val="21"/>
        </w:rPr>
        <w:fldChar w:fldCharType="separate"/>
      </w:r>
      <w:r>
        <w:rPr>
          <w:rFonts w:ascii="宋体" w:hAnsi="宋体"/>
          <w:sz w:val="21"/>
          <w:szCs w:val="21"/>
        </w:rPr>
        <w:t>http://news.qq.com/a/20150922/058339.htm</w:t>
      </w:r>
      <w:r>
        <w:rPr>
          <w:rFonts w:ascii="宋体" w:hAnsi="宋体"/>
          <w:sz w:val="21"/>
          <w:szCs w:val="21"/>
        </w:rPr>
        <w:fldChar w:fldCharType="end"/>
      </w:r>
      <w:r>
        <w:rPr>
          <w:rFonts w:hint="eastAsia" w:ascii="宋体" w:hAnsi="宋体"/>
          <w:sz w:val="21"/>
          <w:szCs w:val="21"/>
        </w:rPr>
        <w:t>.</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[17] 丁红军、陈德俊，ISIS网络恐怖主义活动对我国反恐形势的影响及应对措施[J]，中国公共安全，2015(2)-39.</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r>
        <w:rPr>
          <w:rFonts w:hint="eastAsia" w:ascii="宋体" w:hAnsi="宋体"/>
          <w:sz w:val="21"/>
          <w:szCs w:val="21"/>
        </w:rPr>
        <w:t>[18]</w:t>
      </w:r>
      <w:r>
        <w:rPr>
          <w:rFonts w:ascii="宋体" w:hAnsi="宋体"/>
          <w:sz w:val="21"/>
          <w:szCs w:val="21"/>
        </w:rPr>
        <w:t xml:space="preserve"> </w:t>
      </w:r>
      <w:r>
        <w:rPr>
          <w:rFonts w:hint="eastAsia" w:ascii="宋体" w:hAnsi="宋体"/>
          <w:sz w:val="21"/>
          <w:szCs w:val="21"/>
        </w:rPr>
        <w:t>盛红生，伊斯兰国恐怖威胁非</w:t>
      </w:r>
      <w:r>
        <w:rPr>
          <w:rFonts w:ascii="宋体" w:hAnsi="宋体"/>
          <w:sz w:val="21"/>
          <w:szCs w:val="21"/>
        </w:rPr>
        <w:t>”</w:t>
      </w:r>
      <w:r>
        <w:rPr>
          <w:rFonts w:hint="eastAsia" w:ascii="宋体" w:hAnsi="宋体"/>
          <w:sz w:val="21"/>
          <w:szCs w:val="21"/>
        </w:rPr>
        <w:t>一日之寒</w:t>
      </w:r>
      <w:r>
        <w:rPr>
          <w:rFonts w:ascii="宋体" w:hAnsi="宋体"/>
          <w:sz w:val="21"/>
          <w:szCs w:val="21"/>
        </w:rPr>
        <w:t>”</w:t>
      </w:r>
      <w:r>
        <w:rPr>
          <w:rFonts w:hint="eastAsia" w:ascii="宋体" w:hAnsi="宋体"/>
          <w:sz w:val="21"/>
          <w:szCs w:val="21"/>
        </w:rPr>
        <w:t>[J]，法制日报，2014-10-28(10).</w:t>
      </w: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p>
    <w:p>
      <w:pPr>
        <w:pStyle w:val="7"/>
        <w:keepNext w:val="0"/>
        <w:keepLines w:val="0"/>
        <w:pageBreakBefore w:val="0"/>
        <w:widowControl w:val="0"/>
        <w:kinsoku/>
        <w:wordWrap/>
        <w:overflowPunct/>
        <w:topLinePunct w:val="0"/>
        <w:autoSpaceDE/>
        <w:autoSpaceDN/>
        <w:bidi w:val="0"/>
        <w:adjustRightInd/>
        <w:snapToGrid w:val="0"/>
        <w:spacing w:line="288" w:lineRule="auto"/>
        <w:ind w:left="420" w:right="0" w:rightChars="0" w:hanging="420" w:hangingChars="200"/>
        <w:jc w:val="left"/>
        <w:textAlignment w:val="auto"/>
        <w:outlineLvl w:val="9"/>
        <w:rPr>
          <w:rFonts w:hint="eastAsia" w:ascii="宋体" w:hAnsi="宋体"/>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right"/>
        <w:textAlignment w:val="auto"/>
        <w:outlineLvl w:val="9"/>
        <w:rPr>
          <w:rFonts w:hint="eastAsia" w:ascii="宋体" w:hAnsi="宋体"/>
          <w:szCs w:val="21"/>
        </w:rPr>
      </w:pPr>
      <w:r>
        <w:rPr>
          <w:rFonts w:hint="eastAsia" w:ascii="宋体" w:hAnsi="宋体"/>
          <w:szCs w:val="21"/>
        </w:rPr>
        <w:t>(责任编辑：袁小冬)</w:t>
      </w:r>
    </w:p>
    <w:p>
      <w:pPr>
        <w:keepNext w:val="0"/>
        <w:keepLines w:val="0"/>
        <w:pageBreakBefore w:val="0"/>
        <w:widowControl w:val="0"/>
        <w:kinsoku/>
        <w:wordWrap/>
        <w:overflowPunct/>
        <w:topLinePunct w:val="0"/>
        <w:autoSpaceDE/>
        <w:autoSpaceDN/>
        <w:bidi w:val="0"/>
        <w:adjustRightInd w:val="0"/>
        <w:snapToGrid w:val="0"/>
        <w:spacing w:line="240" w:lineRule="auto"/>
        <w:ind w:right="840" w:firstLine="420" w:firstLineChars="200"/>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839" w:firstLine="420" w:firstLineChars="200"/>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right="839" w:firstLine="420" w:firstLineChars="200"/>
        <w:textAlignment w:val="auto"/>
        <w:outlineLvl w:val="9"/>
        <w:rPr>
          <w:rFonts w:hint="eastAsia" w:ascii="宋体" w:hAnsi="宋体"/>
          <w:szCs w:val="21"/>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黑体" w:hAnsi="黑体" w:eastAsia="黑体" w:cs="黑体"/>
          <w:b/>
          <w:bCs/>
          <w:color w:val="auto"/>
          <w:kern w:val="2"/>
          <w:sz w:val="32"/>
          <w:szCs w:val="32"/>
          <w:lang w:val="en-US" w:eastAsia="zh-CN" w:bidi="ar-SA"/>
        </w:rPr>
      </w:pPr>
      <w:r>
        <w:rPr>
          <w:rFonts w:hint="eastAsia" w:ascii="黑体" w:hAnsi="黑体" w:eastAsia="黑体" w:cs="黑体"/>
          <w:b/>
          <w:bCs/>
          <w:color w:val="auto"/>
          <w:kern w:val="2"/>
          <w:sz w:val="32"/>
          <w:szCs w:val="32"/>
          <w:lang w:val="en-US" w:eastAsia="zh-CN" w:bidi="ar-SA"/>
        </w:rPr>
        <w:t>ATM故障中银行与客户法律关系研究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9"/>
        <w:rPr>
          <w:rFonts w:hint="eastAsia" w:ascii="黑体" w:hAnsi="黑体" w:eastAsia="黑体" w:cs="黑体"/>
          <w:b/>
          <w:bCs/>
          <w:color w:val="auto"/>
          <w:kern w:val="2"/>
          <w:sz w:val="21"/>
          <w:szCs w:val="21"/>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宋体" w:hAnsi="宋体" w:eastAsia="宋体" w:cs="宋体"/>
          <w:b w:val="0"/>
          <w:bCs w:val="0"/>
          <w:color w:val="auto"/>
          <w:kern w:val="2"/>
          <w:sz w:val="21"/>
          <w:szCs w:val="21"/>
          <w:vertAlign w:val="superscript"/>
          <w:lang w:val="en-US" w:eastAsia="zh-CN" w:bidi="ar-SA"/>
        </w:rPr>
      </w:pPr>
      <w:r>
        <w:rPr>
          <w:rFonts w:hint="eastAsia" w:ascii="宋体" w:hAnsi="宋体" w:eastAsia="宋体" w:cs="宋体"/>
          <w:b w:val="0"/>
          <w:bCs w:val="0"/>
          <w:color w:val="auto"/>
          <w:kern w:val="2"/>
          <w:sz w:val="21"/>
          <w:szCs w:val="21"/>
          <w:lang w:val="en-US" w:eastAsia="zh-CN" w:bidi="ar-SA"/>
        </w:rPr>
        <w:t>朱海玲</w:t>
      </w:r>
      <w:r>
        <w:rPr>
          <w:rFonts w:hint="eastAsia" w:ascii="宋体" w:hAnsi="宋体" w:eastAsia="宋体" w:cs="宋体"/>
          <w:b w:val="0"/>
          <w:bCs w:val="0"/>
          <w:color w:val="auto"/>
          <w:kern w:val="2"/>
          <w:sz w:val="21"/>
          <w:szCs w:val="21"/>
          <w:vertAlign w:val="superscript"/>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rightChars="0"/>
        <w:jc w:val="both"/>
        <w:textAlignment w:val="auto"/>
        <w:outlineLvl w:val="9"/>
        <w:rPr>
          <w:rFonts w:hint="eastAsia" w:ascii="宋体" w:hAnsi="宋体" w:eastAsia="宋体" w:cs="宋体"/>
          <w:b/>
          <w:bCs/>
          <w:color w:val="auto"/>
          <w:kern w:val="2"/>
          <w:sz w:val="21"/>
          <w:szCs w:val="21"/>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ind w:left="0" w:leftChars="0" w:right="0" w:rightChars="0"/>
        <w:jc w:val="both"/>
        <w:textAlignment w:val="auto"/>
        <w:outlineLvl w:val="9"/>
        <w:rPr>
          <w:rFonts w:hint="eastAsia" w:ascii="楷体" w:hAnsi="楷体" w:eastAsia="楷体" w:cs="楷体"/>
          <w:b w:val="0"/>
          <w:bCs w:val="0"/>
          <w:color w:val="auto"/>
          <w:kern w:val="2"/>
          <w:sz w:val="24"/>
          <w:szCs w:val="24"/>
          <w:lang w:val="en-US" w:eastAsia="zh-CN" w:bidi="ar-SA"/>
        </w:rPr>
      </w:pPr>
      <w:r>
        <w:rPr>
          <w:rFonts w:hint="eastAsia" w:ascii="宋体" w:hAnsi="宋体" w:eastAsia="宋体" w:cs="宋体"/>
          <w:b/>
          <w:bCs/>
          <w:color w:val="auto"/>
          <w:kern w:val="2"/>
          <w:sz w:val="21"/>
          <w:szCs w:val="21"/>
          <w:lang w:val="en-US" w:eastAsia="zh-CN" w:bidi="ar-SA"/>
        </w:rPr>
        <w:t>摘  要：</w:t>
      </w:r>
      <w:r>
        <w:rPr>
          <w:rFonts w:hint="eastAsia" w:ascii="楷体" w:hAnsi="楷体" w:eastAsia="楷体" w:cs="楷体"/>
          <w:b w:val="0"/>
          <w:bCs w:val="0"/>
          <w:color w:val="auto"/>
          <w:kern w:val="2"/>
          <w:sz w:val="21"/>
          <w:szCs w:val="21"/>
          <w:lang w:val="en-US" w:eastAsia="zh-CN" w:bidi="ar-SA"/>
        </w:rPr>
        <w:t xml:space="preserve">随着我国经济改革的不断深入，金融行业不断的创新，以自动柜员机（ATM）交易为代表的自助交易已然成为现代商业银行为客户提供服务的主要途径。自中国银行珠海分行第一次引进ATM，并于1987年2月正式投入使用以来，中国的ATM使用已近30年，银行ATM机也因其得天独厚的优势——便捷而成为人们使用银行卡的主要手段之一，中国ATM等自助设备发展迅猛。ATM机在给人们生活带来更多方便快捷的同时,也会产生与之相伴而生的新的社会问题和现象。其中显著地新问题是“ATM”故障后造成的损失以及导致的责任由谁承担？利用ATM故障实施的行为是否一定构成犯罪。本文主要探讨的是 ATM 机作为银行和客户的新型的交易平台，ATM业务中银行与客户的法律关系，分析ATM机出现故障后引发的种种行为和结果；在这种种行为和后果中银行和客户各需承担的法律责任，明确银行与客户各自的责任，为融洽银行与客户的关系提出自己的看法。 </w:t>
      </w:r>
      <w:r>
        <w:rPr>
          <w:rFonts w:hint="eastAsia" w:ascii="楷体" w:hAnsi="楷体" w:eastAsia="楷体" w:cs="楷体"/>
          <w:b w:val="0"/>
          <w:bCs w:val="0"/>
          <w:color w:val="auto"/>
          <w:kern w:val="2"/>
          <w:sz w:val="24"/>
          <w:szCs w:val="24"/>
          <w:lang w:val="en-US" w:eastAsia="zh-CN" w:bidi="ar-SA"/>
        </w:rPr>
        <w:t xml:space="preserve">                                                                                                                                                                                                                                                                                                                                                                                                                                                                                                                                                                                                                                                                                                                                                                                                                                                                                                                                                                                                                                                                                                                                                                                                                                                                                                                                                                                                                                                                                                                                                                                                                                                                                                                                                                                                                                                                                                                                                                                                                                                                                                                                                                                                                                                                                                                                                                                                                                                                                                                                                                                                                                                                                                                                                                                                                                                                                                                                                                                                                                                                                                                                                                                                                                                                                                                                                                                                                                                                                                                                                                                                                                                                                                                                                                                                                                                                                                                                                                                                                                                                                                                                                                                                                </w:t>
      </w:r>
      <w:r>
        <w:rPr>
          <w:rFonts w:hint="eastAsia" w:ascii="楷体" w:hAnsi="楷体" w:eastAsia="楷体" w:cs="楷体"/>
          <w:b w:val="0"/>
          <w:bCs w:val="0"/>
          <w:color w:val="auto"/>
          <w:kern w:val="2"/>
          <w:sz w:val="24"/>
          <w:szCs w:val="24"/>
          <w:lang w:val="en-US" w:eastAsia="zh-CN" w:bidi="ar-SA"/>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88" w:lineRule="auto"/>
        <w:ind w:left="0" w:leftChars="0" w:right="0" w:rightChars="0"/>
        <w:jc w:val="both"/>
        <w:textAlignment w:val="auto"/>
        <w:outlineLvl w:val="9"/>
        <w:rPr>
          <w:rFonts w:hint="eastAsia" w:ascii="楷体" w:hAnsi="楷体" w:eastAsia="楷体" w:cs="楷体"/>
          <w:b w:val="0"/>
          <w:bCs w:val="0"/>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关键词：</w:t>
      </w:r>
      <w:r>
        <w:rPr>
          <w:rFonts w:hint="eastAsia" w:ascii="楷体" w:hAnsi="楷体" w:eastAsia="楷体" w:cs="楷体"/>
          <w:b w:val="0"/>
          <w:bCs w:val="0"/>
          <w:color w:val="auto"/>
          <w:kern w:val="2"/>
          <w:sz w:val="21"/>
          <w:szCs w:val="21"/>
          <w:lang w:val="en-US" w:eastAsia="zh-CN" w:bidi="ar-SA"/>
        </w:rPr>
        <w:t>ATM故障  银行与客户  法律关系  权利与义务  法律责任</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楷体" w:hAnsi="楷体" w:eastAsia="楷体" w:cs="楷体"/>
          <w:b w:val="0"/>
          <w:bCs w:val="0"/>
          <w:color w:val="auto"/>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宋体" w:hAnsi="宋体" w:eastAsia="宋体" w:cs="宋体"/>
          <w:b/>
          <w:bCs/>
          <w:color w:val="auto"/>
          <w:sz w:val="24"/>
          <w:szCs w:val="24"/>
          <w:lang w:val="en-US" w:eastAsia="zh-CN"/>
        </w:rPr>
      </w:pPr>
      <w:bookmarkStart w:id="2" w:name="_Toc20816"/>
      <w:r>
        <w:rPr>
          <w:rFonts w:hint="eastAsia" w:ascii="黑体" w:hAnsi="黑体" w:eastAsia="黑体" w:cs="黑体"/>
          <w:b/>
          <w:bCs/>
          <w:color w:val="auto"/>
          <w:sz w:val="28"/>
          <w:szCs w:val="28"/>
          <w:lang w:val="en-US" w:eastAsia="zh-CN"/>
        </w:rPr>
        <w:t>一、引言</w:t>
      </w:r>
      <w:bookmarkEnd w:id="2"/>
      <w:bookmarkStart w:id="3" w:name="_Toc30902"/>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both"/>
        <w:textAlignment w:val="auto"/>
        <w:outlineLvl w:val="2"/>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(一）我国经济发展使然</w:t>
      </w:r>
      <w:bookmarkEnd w:id="3"/>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2"/>
        <w:rPr>
          <w:rFonts w:hint="eastAsia" w:ascii="宋体" w:hAnsi="宋体" w:eastAsia="宋体" w:cs="宋体"/>
          <w:b w:val="0"/>
          <w:bCs w:val="0"/>
          <w:color w:val="auto"/>
          <w:sz w:val="24"/>
          <w:szCs w:val="24"/>
          <w:lang w:eastAsia="zh-CN"/>
        </w:rPr>
      </w:pP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lang w:eastAsia="zh-CN"/>
        </w:rPr>
        <w:t>近十年，随着</w:t>
      </w:r>
      <w:r>
        <w:rPr>
          <w:rFonts w:hint="eastAsia" w:ascii="宋体" w:hAnsi="宋体" w:cs="宋体"/>
          <w:b w:val="0"/>
          <w:bCs w:val="0"/>
          <w:color w:val="auto"/>
          <w:sz w:val="21"/>
          <w:szCs w:val="21"/>
          <w:lang w:eastAsia="zh-CN"/>
        </w:rPr>
        <w:t>我国经济的腾飞和金融业尤其是银行的不断发展，</w:t>
      </w:r>
      <w:r>
        <w:rPr>
          <w:rFonts w:hint="eastAsia" w:ascii="宋体" w:hAnsi="宋体" w:eastAsia="宋体" w:cs="宋体"/>
          <w:b w:val="0"/>
          <w:bCs w:val="0"/>
          <w:color w:val="auto"/>
          <w:sz w:val="21"/>
          <w:szCs w:val="21"/>
          <w:lang w:eastAsia="zh-CN"/>
        </w:rPr>
        <w:t>ATM布设大幅</w:t>
      </w:r>
      <w:r>
        <w:rPr>
          <w:rFonts w:hint="eastAsia" w:ascii="宋体" w:hAnsi="宋体" w:cs="宋体"/>
          <w:b w:val="0"/>
          <w:bCs w:val="0"/>
          <w:color w:val="auto"/>
          <w:sz w:val="21"/>
          <w:szCs w:val="21"/>
          <w:lang w:eastAsia="zh-CN"/>
        </w:rPr>
        <w:t>的</w:t>
      </w:r>
      <w:r>
        <w:rPr>
          <w:rFonts w:hint="eastAsia" w:ascii="宋体" w:hAnsi="宋体" w:eastAsia="宋体" w:cs="宋体"/>
          <w:b w:val="0"/>
          <w:bCs w:val="0"/>
          <w:color w:val="auto"/>
          <w:sz w:val="21"/>
          <w:szCs w:val="21"/>
          <w:lang w:eastAsia="zh-CN"/>
        </w:rPr>
        <w:t>增加，针对ATM的各种犯罪</w:t>
      </w:r>
      <w:r>
        <w:rPr>
          <w:rFonts w:hint="eastAsia" w:ascii="宋体" w:hAnsi="宋体" w:cs="宋体"/>
          <w:b w:val="0"/>
          <w:bCs w:val="0"/>
          <w:color w:val="auto"/>
          <w:sz w:val="21"/>
          <w:szCs w:val="21"/>
          <w:lang w:eastAsia="zh-CN"/>
        </w:rPr>
        <w:t>活动</w:t>
      </w:r>
      <w:r>
        <w:rPr>
          <w:rFonts w:hint="eastAsia" w:ascii="宋体" w:hAnsi="宋体" w:eastAsia="宋体" w:cs="宋体"/>
          <w:b w:val="0"/>
          <w:bCs w:val="0"/>
          <w:color w:val="auto"/>
          <w:sz w:val="21"/>
          <w:szCs w:val="21"/>
          <w:lang w:eastAsia="zh-CN"/>
        </w:rPr>
        <w:t>不断增多，犯案手段</w:t>
      </w:r>
      <w:r>
        <w:rPr>
          <w:rFonts w:hint="eastAsia" w:ascii="宋体" w:hAnsi="宋体" w:cs="宋体"/>
          <w:b w:val="0"/>
          <w:bCs w:val="0"/>
          <w:color w:val="auto"/>
          <w:sz w:val="21"/>
          <w:szCs w:val="21"/>
          <w:lang w:eastAsia="zh-CN"/>
        </w:rPr>
        <w:t>不胜枚举</w:t>
      </w:r>
      <w:r>
        <w:rPr>
          <w:rFonts w:hint="eastAsia" w:ascii="宋体" w:hAnsi="宋体" w:eastAsia="宋体" w:cs="宋体"/>
          <w:b w:val="0"/>
          <w:bCs w:val="0"/>
          <w:color w:val="auto"/>
          <w:sz w:val="21"/>
          <w:szCs w:val="21"/>
          <w:lang w:eastAsia="zh-CN"/>
        </w:rPr>
        <w:t>，使得利用ATM犯罪的案件和纠纷不断增加。轰动一时的“许霆案”</w:t>
      </w:r>
      <w:r>
        <w:rPr>
          <w:rStyle w:val="12"/>
          <w:rFonts w:hint="eastAsia" w:ascii="宋体" w:hAnsi="宋体" w:eastAsia="宋体" w:cs="宋体"/>
          <w:b w:val="0"/>
          <w:bCs w:val="0"/>
          <w:color w:val="auto"/>
          <w:sz w:val="21"/>
          <w:szCs w:val="21"/>
          <w:lang w:eastAsia="zh-CN"/>
        </w:rPr>
        <w:t>[</w:t>
      </w:r>
      <w:r>
        <w:rPr>
          <w:rStyle w:val="12"/>
          <w:rFonts w:hint="eastAsia" w:ascii="宋体" w:hAnsi="宋体" w:eastAsia="宋体" w:cs="宋体"/>
          <w:b w:val="0"/>
          <w:bCs w:val="0"/>
          <w:color w:val="auto"/>
          <w:sz w:val="21"/>
          <w:szCs w:val="21"/>
          <w:lang w:eastAsia="zh-CN"/>
        </w:rPr>
        <w:footnoteReference w:id="104"/>
      </w:r>
      <w:r>
        <w:rPr>
          <w:rStyle w:val="12"/>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eastAsia="zh-CN"/>
        </w:rPr>
        <w:t>（2006—2008）将ATM业务推向公众和社会关注的焦点。虽然，现在已经时过境迁，事态已经逐渐平息，但若让我们回顾这些事件，不难发现其中大量问题</w:t>
      </w:r>
      <w:r>
        <w:rPr>
          <w:rFonts w:hint="eastAsia" w:ascii="宋体" w:hAnsi="宋体" w:cs="宋体"/>
          <w:b w:val="0"/>
          <w:bCs w:val="0"/>
          <w:color w:val="auto"/>
          <w:sz w:val="21"/>
          <w:szCs w:val="21"/>
          <w:lang w:eastAsia="zh-CN"/>
        </w:rPr>
        <w:t>的</w:t>
      </w:r>
      <w:r>
        <w:rPr>
          <w:rFonts w:hint="eastAsia" w:ascii="宋体" w:hAnsi="宋体" w:eastAsia="宋体" w:cs="宋体"/>
          <w:b w:val="0"/>
          <w:bCs w:val="0"/>
          <w:color w:val="auto"/>
          <w:sz w:val="21"/>
          <w:szCs w:val="21"/>
          <w:lang w:eastAsia="zh-CN"/>
        </w:rPr>
        <w:t>引发离不开</w:t>
      </w:r>
      <w:r>
        <w:rPr>
          <w:rFonts w:hint="eastAsia" w:ascii="宋体" w:hAnsi="宋体" w:eastAsia="宋体" w:cs="宋体"/>
          <w:b w:val="0"/>
          <w:bCs w:val="0"/>
          <w:color w:val="auto"/>
          <w:sz w:val="21"/>
          <w:szCs w:val="21"/>
          <w:lang w:val="en-US" w:eastAsia="zh-CN"/>
        </w:rPr>
        <w:t>ATM故障</w:t>
      </w:r>
      <w:r>
        <w:rPr>
          <w:rFonts w:hint="eastAsia" w:ascii="宋体" w:hAnsi="宋体" w:cs="宋体"/>
          <w:b w:val="0"/>
          <w:bCs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both"/>
        <w:textAlignment w:val="auto"/>
        <w:outlineLvl w:val="2"/>
        <w:rPr>
          <w:rFonts w:hint="eastAsia" w:ascii="宋体" w:hAnsi="宋体" w:eastAsia="宋体" w:cs="宋体"/>
          <w:b/>
          <w:bCs/>
          <w:color w:val="auto"/>
          <w:sz w:val="24"/>
          <w:szCs w:val="24"/>
          <w:lang w:val="en-US" w:eastAsia="zh-CN"/>
        </w:rPr>
      </w:pPr>
      <w:bookmarkStart w:id="4" w:name="_Toc19810"/>
      <w:r>
        <w:rPr>
          <w:rFonts w:hint="eastAsia" w:ascii="宋体" w:hAnsi="宋体" w:eastAsia="宋体" w:cs="宋体"/>
          <w:b/>
          <w:bCs/>
          <w:color w:val="auto"/>
          <w:sz w:val="24"/>
          <w:szCs w:val="24"/>
          <w:lang w:val="en-US" w:eastAsia="zh-CN"/>
        </w:rPr>
        <w:t>（二）我国法律现状使然</w:t>
      </w:r>
      <w:bookmarkEnd w:id="4"/>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val="0"/>
          <w:bCs w:val="0"/>
          <w:color w:val="auto"/>
          <w:sz w:val="24"/>
          <w:szCs w:val="24"/>
          <w:lang w:val="en-US" w:eastAsia="zh-CN"/>
        </w:rPr>
      </w:pP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lang w:eastAsia="zh-CN"/>
        </w:rPr>
        <w:t>我国法律对于</w:t>
      </w:r>
      <w:r>
        <w:rPr>
          <w:rFonts w:hint="eastAsia" w:ascii="宋体" w:hAnsi="宋体" w:eastAsia="宋体" w:cs="宋体"/>
          <w:b w:val="0"/>
          <w:bCs w:val="0"/>
          <w:color w:val="auto"/>
          <w:sz w:val="21"/>
          <w:szCs w:val="21"/>
          <w:lang w:val="en-US" w:eastAsia="zh-CN"/>
        </w:rPr>
        <w:t>ATM故障后的各种法律问题以及相关的解决方法都没有形成系统的、明确的认识。现阶段仍有不少专家、学者、法律工作者在探索这一新兴的法律问题。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both"/>
        <w:textAlignment w:val="auto"/>
        <w:outlineLvl w:val="2"/>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（三）国内外研究现状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先比较两个案例，</w:t>
      </w:r>
      <w:r>
        <w:rPr>
          <w:rFonts w:hint="eastAsia" w:ascii="宋体" w:hAnsi="宋体" w:eastAsia="宋体" w:cs="宋体"/>
          <w:b w:val="0"/>
          <w:bCs w:val="0"/>
          <w:color w:val="auto"/>
          <w:sz w:val="21"/>
          <w:szCs w:val="21"/>
          <w:lang w:val="en-US" w:eastAsia="zh-CN"/>
        </w:rPr>
        <w:t>前段时间阅读到一篇关于ATM故障后银行处理模式的报道，题名为“英国ATM故障掌掴中国银行”</w:t>
      </w:r>
      <w:r>
        <w:rPr>
          <w:rStyle w:val="12"/>
          <w:rFonts w:hint="eastAsia" w:ascii="宋体" w:hAnsi="宋体" w:eastAsia="宋体" w:cs="宋体"/>
          <w:b w:val="0"/>
          <w:bCs w:val="0"/>
          <w:color w:val="auto"/>
          <w:sz w:val="21"/>
          <w:szCs w:val="21"/>
          <w:lang w:val="en-US" w:eastAsia="zh-CN"/>
        </w:rPr>
        <w:t>[</w:t>
      </w:r>
      <w:r>
        <w:rPr>
          <w:rStyle w:val="12"/>
          <w:rFonts w:hint="eastAsia" w:ascii="宋体" w:hAnsi="宋体" w:eastAsia="宋体" w:cs="宋体"/>
          <w:b w:val="0"/>
          <w:bCs w:val="0"/>
          <w:color w:val="auto"/>
          <w:sz w:val="21"/>
          <w:szCs w:val="21"/>
          <w:lang w:val="en-US" w:eastAsia="zh-CN"/>
        </w:rPr>
        <w:footnoteReference w:id="105"/>
      </w:r>
      <w:r>
        <w:rPr>
          <w:rStyle w:val="12"/>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讲述</w:t>
      </w:r>
      <w:r>
        <w:rPr>
          <w:rFonts w:hint="eastAsia" w:ascii="宋体" w:hAnsi="宋体" w:cs="宋体"/>
          <w:b w:val="0"/>
          <w:bCs w:val="0"/>
          <w:color w:val="auto"/>
          <w:sz w:val="21"/>
          <w:szCs w:val="21"/>
          <w:lang w:val="en-US" w:eastAsia="zh-CN"/>
        </w:rPr>
        <w:t>了这样一个案例，事件发生在</w:t>
      </w:r>
      <w:r>
        <w:rPr>
          <w:rFonts w:hint="eastAsia" w:ascii="宋体" w:hAnsi="宋体" w:eastAsia="宋体" w:cs="宋体"/>
          <w:b w:val="0"/>
          <w:bCs w:val="0"/>
          <w:color w:val="auto"/>
          <w:sz w:val="21"/>
          <w:szCs w:val="21"/>
          <w:lang w:val="en-US" w:eastAsia="zh-CN"/>
        </w:rPr>
        <w:t>英国</w:t>
      </w:r>
      <w:r>
        <w:rPr>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某银行一台ATM机发生</w:t>
      </w:r>
      <w:r>
        <w:rPr>
          <w:rFonts w:hint="eastAsia" w:ascii="宋体" w:hAnsi="宋体" w:cs="宋体"/>
          <w:b w:val="0"/>
          <w:bCs w:val="0"/>
          <w:color w:val="auto"/>
          <w:sz w:val="21"/>
          <w:szCs w:val="21"/>
          <w:lang w:val="en-US" w:eastAsia="zh-CN"/>
        </w:rPr>
        <w:t>了</w:t>
      </w:r>
      <w:r>
        <w:rPr>
          <w:rFonts w:hint="eastAsia" w:ascii="宋体" w:hAnsi="宋体" w:eastAsia="宋体" w:cs="宋体"/>
          <w:b w:val="0"/>
          <w:bCs w:val="0"/>
          <w:color w:val="auto"/>
          <w:sz w:val="21"/>
          <w:szCs w:val="21"/>
          <w:lang w:val="en-US" w:eastAsia="zh-CN"/>
        </w:rPr>
        <w:t>故障，在客户取款时会吐出双倍数额的现金，</w:t>
      </w:r>
      <w:r>
        <w:rPr>
          <w:rFonts w:hint="eastAsia" w:ascii="宋体" w:hAnsi="宋体" w:cs="宋体"/>
          <w:b w:val="0"/>
          <w:bCs w:val="0"/>
          <w:color w:val="auto"/>
          <w:sz w:val="21"/>
          <w:szCs w:val="21"/>
          <w:lang w:val="en-US" w:eastAsia="zh-CN"/>
        </w:rPr>
        <w:t>得知消息的</w:t>
      </w:r>
      <w:r>
        <w:rPr>
          <w:rFonts w:hint="eastAsia" w:ascii="宋体" w:hAnsi="宋体" w:eastAsia="宋体" w:cs="宋体"/>
          <w:b w:val="0"/>
          <w:bCs w:val="0"/>
          <w:color w:val="auto"/>
          <w:sz w:val="21"/>
          <w:szCs w:val="21"/>
          <w:lang w:val="en-US" w:eastAsia="zh-CN"/>
        </w:rPr>
        <w:t>很多人赶来提款，银行方面</w:t>
      </w:r>
      <w:r>
        <w:rPr>
          <w:rFonts w:hint="eastAsia" w:ascii="宋体" w:hAnsi="宋体" w:cs="宋体"/>
          <w:b w:val="0"/>
          <w:bCs w:val="0"/>
          <w:color w:val="auto"/>
          <w:sz w:val="21"/>
          <w:szCs w:val="21"/>
          <w:lang w:val="en-US" w:eastAsia="zh-CN"/>
        </w:rPr>
        <w:t>则宣称其过错在自己，</w:t>
      </w:r>
      <w:r>
        <w:rPr>
          <w:rFonts w:hint="eastAsia" w:ascii="宋体" w:hAnsi="宋体" w:eastAsia="宋体" w:cs="宋体"/>
          <w:b w:val="0"/>
          <w:bCs w:val="0"/>
          <w:color w:val="auto"/>
          <w:sz w:val="21"/>
          <w:szCs w:val="21"/>
          <w:lang w:val="en-US" w:eastAsia="zh-CN"/>
        </w:rPr>
        <w:t>客户可以不用归还多余的钱款。对比中国的“许霆”案件，其处理结果</w:t>
      </w:r>
      <w:r>
        <w:rPr>
          <w:rFonts w:hint="eastAsia" w:ascii="宋体" w:hAnsi="宋体" w:cs="宋体"/>
          <w:b w:val="0"/>
          <w:bCs w:val="0"/>
          <w:color w:val="auto"/>
          <w:sz w:val="21"/>
          <w:szCs w:val="21"/>
          <w:lang w:val="en-US" w:eastAsia="zh-CN"/>
        </w:rPr>
        <w:t>竟这样大相径庭</w:t>
      </w:r>
      <w:r>
        <w:rPr>
          <w:rFonts w:hint="eastAsia" w:ascii="宋体" w:hAnsi="宋体" w:eastAsia="宋体" w:cs="宋体"/>
          <w:b w:val="0"/>
          <w:bCs w:val="0"/>
          <w:color w:val="auto"/>
          <w:sz w:val="21"/>
          <w:szCs w:val="21"/>
          <w:lang w:val="en-US" w:eastAsia="zh-CN"/>
        </w:rPr>
        <w:t>。</w:t>
      </w:r>
      <w:r>
        <w:rPr>
          <w:rFonts w:hint="eastAsia" w:ascii="宋体" w:hAnsi="宋体" w:cs="宋体"/>
          <w:b w:val="0"/>
          <w:bCs w:val="0"/>
          <w:color w:val="auto"/>
          <w:sz w:val="21"/>
          <w:szCs w:val="21"/>
          <w:lang w:val="en-US" w:eastAsia="zh-CN"/>
        </w:rPr>
        <w:t>难道是我们的法律出问题了吗？答案肯定是否定的。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我国在ATM机监管和规制方面并没有出台相关的明确的法律、法规。这是法律制定滞后性的表现。而在国外，英美国家认为银行与客户是经营者与消费者的关系，客户应该受到消费者权益保护法的保护。美国有专门的《电子资金划拨法》明确银行卡业务中银行与客户的权利与义务，发生故障时银行与客户风险责任的承担。</w:t>
      </w:r>
      <w:r>
        <w:rPr>
          <w:rFonts w:hint="eastAsia" w:ascii="宋体" w:hAnsi="宋体" w:eastAsia="宋体" w:cs="宋体"/>
          <w:b w:val="0"/>
          <w:bCs w:val="0"/>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jc w:val="center"/>
        <w:textAlignment w:val="auto"/>
        <w:outlineLvl w:val="0"/>
        <w:rPr>
          <w:rFonts w:hint="eastAsia" w:ascii="宋体" w:hAnsi="宋体" w:eastAsia="宋体" w:cs="宋体"/>
          <w:b/>
          <w:bCs/>
          <w:color w:val="auto"/>
          <w:sz w:val="21"/>
          <w:szCs w:val="21"/>
          <w:highlight w:val="none"/>
          <w:lang w:val="en-US" w:eastAsia="zh-CN"/>
        </w:rPr>
      </w:pPr>
      <w:bookmarkStart w:id="5" w:name="_Toc26591"/>
      <w:bookmarkStart w:id="6" w:name="_Toc7952"/>
      <w:bookmarkStart w:id="7" w:name="_Toc5648"/>
      <w:r>
        <w:rPr>
          <w:rFonts w:hint="eastAsia" w:ascii="黑体" w:hAnsi="黑体" w:eastAsia="黑体" w:cs="黑体"/>
          <w:b/>
          <w:bCs/>
          <w:color w:val="auto"/>
          <w:sz w:val="28"/>
          <w:szCs w:val="28"/>
          <w:highlight w:val="none"/>
          <w:lang w:val="en-US" w:eastAsia="zh-CN"/>
        </w:rPr>
        <w:t>二、银行和客户</w:t>
      </w:r>
      <w:bookmarkEnd w:id="5"/>
      <w:bookmarkEnd w:id="6"/>
      <w:bookmarkEnd w:id="7"/>
      <w:r>
        <w:rPr>
          <w:rFonts w:hint="eastAsia" w:ascii="黑体" w:hAnsi="黑体" w:eastAsia="黑体" w:cs="黑体"/>
          <w:b/>
          <w:bCs/>
          <w:color w:val="auto"/>
          <w:sz w:val="28"/>
          <w:szCs w:val="28"/>
          <w:highlight w:val="none"/>
          <w:lang w:val="en-US" w:eastAsia="zh-CN"/>
        </w:rPr>
        <w:t>概念初探</w:t>
      </w:r>
      <w:bookmarkStart w:id="8" w:name="_Toc26531"/>
      <w:bookmarkStart w:id="9" w:name="_Toc28201"/>
      <w:bookmarkStart w:id="10" w:name="_Toc18347"/>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1"/>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（一）银行</w:t>
      </w:r>
      <w:bookmarkEnd w:id="8"/>
      <w:bookmarkEnd w:id="9"/>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 xml:space="preserve">    众所周知。银行分为商业银行和政策性银行两大类，本文探讨的“银行”是商业银行。而</w:t>
      </w:r>
      <w:r>
        <w:rPr>
          <w:rFonts w:hint="eastAsia" w:ascii="宋体" w:hAnsi="宋体" w:eastAsia="宋体" w:cs="宋体"/>
          <w:b w:val="0"/>
          <w:bCs w:val="0"/>
          <w:color w:val="auto"/>
          <w:sz w:val="21"/>
          <w:szCs w:val="21"/>
          <w:highlight w:val="none"/>
          <w:lang w:val="en-US" w:eastAsia="zh-CN"/>
        </w:rPr>
        <w:t>对于银行的定义有许多，但要对其下一个准确到位，</w:t>
      </w:r>
      <w:r>
        <w:rPr>
          <w:rFonts w:hint="eastAsia" w:ascii="宋体" w:hAnsi="宋体" w:cs="宋体"/>
          <w:b w:val="0"/>
          <w:bCs w:val="0"/>
          <w:color w:val="auto"/>
          <w:sz w:val="21"/>
          <w:szCs w:val="21"/>
          <w:highlight w:val="none"/>
          <w:lang w:val="en-US" w:eastAsia="zh-CN"/>
        </w:rPr>
        <w:t>且</w:t>
      </w:r>
      <w:r>
        <w:rPr>
          <w:rFonts w:hint="eastAsia" w:ascii="宋体" w:hAnsi="宋体" w:eastAsia="宋体" w:cs="宋体"/>
          <w:b w:val="0"/>
          <w:bCs w:val="0"/>
          <w:color w:val="auto"/>
          <w:sz w:val="21"/>
          <w:szCs w:val="21"/>
          <w:highlight w:val="none"/>
          <w:lang w:val="en-US" w:eastAsia="zh-CN"/>
        </w:rPr>
        <w:t>足以涵盖各种类型的银行业务，并揭示银行的本质特征的定义，是非常困难的。</w:t>
      </w:r>
      <w:r>
        <w:rPr>
          <w:rStyle w:val="12"/>
          <w:rFonts w:hint="eastAsia" w:ascii="宋体" w:hAnsi="宋体" w:eastAsia="宋体" w:cs="宋体"/>
          <w:b w:val="0"/>
          <w:bCs w:val="0"/>
          <w:color w:val="auto"/>
          <w:sz w:val="21"/>
          <w:szCs w:val="21"/>
          <w:highlight w:val="none"/>
          <w:lang w:val="en-US" w:eastAsia="zh-CN"/>
        </w:rPr>
        <w:t>[</w:t>
      </w:r>
      <w:r>
        <w:rPr>
          <w:rStyle w:val="12"/>
          <w:rFonts w:hint="eastAsia" w:ascii="宋体" w:hAnsi="宋体" w:eastAsia="宋体" w:cs="宋体"/>
          <w:b w:val="0"/>
          <w:bCs w:val="0"/>
          <w:color w:val="auto"/>
          <w:sz w:val="21"/>
          <w:szCs w:val="21"/>
          <w:highlight w:val="none"/>
          <w:lang w:val="en-US" w:eastAsia="zh-CN"/>
        </w:rPr>
        <w:footnoteReference w:id="106"/>
      </w:r>
      <w:r>
        <w:rPr>
          <w:rStyle w:val="12"/>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英国1882年《票据法》第二条规定：“银行是指经营银行业务的企业。</w:t>
      </w:r>
      <w:bookmarkStart w:id="11" w:name="_Toc7062"/>
      <w:r>
        <w:rPr>
          <w:rFonts w:hint="eastAsia" w:ascii="宋体" w:hAnsi="宋体" w:eastAsia="宋体" w:cs="宋体"/>
          <w:b w:val="0"/>
          <w:bCs w:val="0"/>
          <w:color w:val="auto"/>
          <w:sz w:val="21"/>
          <w:szCs w:val="21"/>
          <w:highlight w:val="none"/>
          <w:lang w:val="en-US" w:eastAsia="zh-CN"/>
        </w:rPr>
        <w:t>”这是一个循环定义。我国《商业银行法》第二条规定：“商业银行是指依照本法和《中华人民共和国公司法》设立的吸收公众存款、发放贷款、办理结算等业务的</w:t>
      </w:r>
      <w:r>
        <w:rPr>
          <w:rFonts w:hint="eastAsia" w:ascii="宋体" w:hAnsi="宋体" w:cs="宋体"/>
          <w:b w:val="0"/>
          <w:bCs w:val="0"/>
          <w:color w:val="auto"/>
          <w:sz w:val="21"/>
          <w:szCs w:val="21"/>
          <w:highlight w:val="none"/>
          <w:lang w:val="en-US" w:eastAsia="zh-CN"/>
        </w:rPr>
        <w:t>企业</w:t>
      </w:r>
      <w:r>
        <w:rPr>
          <w:rFonts w:hint="eastAsia" w:ascii="宋体" w:hAnsi="宋体" w:eastAsia="宋体" w:cs="宋体"/>
          <w:b w:val="0"/>
          <w:bCs w:val="0"/>
          <w:color w:val="auto"/>
          <w:sz w:val="21"/>
          <w:szCs w:val="21"/>
          <w:highlight w:val="none"/>
          <w:lang w:val="en-US" w:eastAsia="zh-CN"/>
        </w:rPr>
        <w:t>法人。”</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1"/>
        <w:rPr>
          <w:rFonts w:hint="eastAsia" w:ascii="宋体" w:hAnsi="宋体" w:eastAsia="宋体" w:cs="宋体"/>
          <w:b/>
          <w:bCs/>
          <w:color w:val="auto"/>
          <w:sz w:val="24"/>
          <w:szCs w:val="24"/>
          <w:highlight w:val="none"/>
          <w:lang w:val="en-US" w:eastAsia="zh-CN"/>
        </w:rPr>
      </w:pPr>
      <w:bookmarkStart w:id="12" w:name="_Toc11555"/>
      <w:bookmarkStart w:id="13" w:name="_Toc28792"/>
      <w:r>
        <w:rPr>
          <w:rFonts w:hint="eastAsia" w:ascii="宋体" w:hAnsi="宋体" w:eastAsia="宋体" w:cs="宋体"/>
          <w:b/>
          <w:bCs/>
          <w:color w:val="auto"/>
          <w:sz w:val="24"/>
          <w:szCs w:val="24"/>
          <w:highlight w:val="none"/>
          <w:lang w:val="en-US" w:eastAsia="zh-CN"/>
        </w:rPr>
        <w:t>（二）银行业务</w:t>
      </w:r>
      <w:bookmarkEnd w:id="12"/>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2"/>
        <w:rPr>
          <w:rFonts w:hint="eastAsia" w:ascii="宋体" w:hAnsi="宋体" w:eastAsia="宋体" w:cs="宋体"/>
          <w:b w:val="0"/>
          <w:bCs w:val="0"/>
          <w:color w:val="auto"/>
          <w:sz w:val="21"/>
          <w:szCs w:val="21"/>
          <w:highlight w:val="none"/>
          <w:lang w:val="en-US" w:eastAsia="zh-CN"/>
        </w:rPr>
      </w:pPr>
      <w:bookmarkStart w:id="14" w:name="_Toc24375"/>
      <w:bookmarkStart w:id="15" w:name="_Toc6951"/>
      <w:r>
        <w:rPr>
          <w:rFonts w:hint="default" w:ascii="Times New Roman" w:hAnsi="Times New Roman" w:eastAsia="宋体" w:cs="Times New Roman"/>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银行业务定义</w:t>
      </w:r>
      <w:bookmarkEnd w:id="14"/>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bookmarkStart w:id="16" w:name="_Toc21090"/>
      <w:r>
        <w:rPr>
          <w:rFonts w:hint="eastAsia" w:ascii="宋体" w:hAnsi="宋体" w:eastAsia="宋体" w:cs="宋体"/>
          <w:b w:val="0"/>
          <w:bCs w:val="0"/>
          <w:color w:val="auto"/>
          <w:sz w:val="21"/>
          <w:szCs w:val="21"/>
          <w:highlight w:val="none"/>
          <w:lang w:val="en-US" w:eastAsia="zh-CN"/>
        </w:rPr>
        <w:t>银行业务有广义和狭义之分，广义的银行业务指银行作为一个经济主体所能从事的所有金融业务。狭义的银行业务是指银行拥有的与其他金融机构相区别的的基本业务。</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2"/>
        <w:rPr>
          <w:rFonts w:hint="eastAsia" w:ascii="宋体" w:hAnsi="宋体" w:eastAsia="宋体" w:cs="宋体"/>
          <w:b w:val="0"/>
          <w:bCs w:val="0"/>
          <w:color w:val="auto"/>
          <w:sz w:val="21"/>
          <w:szCs w:val="21"/>
          <w:highlight w:val="none"/>
          <w:lang w:val="en-US" w:eastAsia="zh-CN"/>
        </w:rPr>
      </w:pPr>
      <w:bookmarkStart w:id="17" w:name="_Toc256"/>
      <w:bookmarkStart w:id="18" w:name="_Toc6490"/>
      <w:r>
        <w:rPr>
          <w:rFonts w:hint="default" w:ascii="Times New Roman" w:hAnsi="Times New Roman" w:eastAsia="宋体" w:cs="Times New Roman"/>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银行业务范围</w:t>
      </w:r>
      <w:bookmarkEnd w:id="17"/>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bookmarkStart w:id="19" w:name="_Toc1786"/>
      <w:r>
        <w:rPr>
          <w:rFonts w:hint="eastAsia" w:ascii="宋体" w:hAnsi="宋体" w:eastAsia="宋体" w:cs="宋体"/>
          <w:b w:val="0"/>
          <w:bCs w:val="0"/>
          <w:color w:val="auto"/>
          <w:sz w:val="21"/>
          <w:szCs w:val="21"/>
          <w:highlight w:val="none"/>
          <w:lang w:val="en-US" w:eastAsia="zh-CN"/>
        </w:rPr>
        <w:t>早期的商业银行的业务范围比较狭窄，主要是存款、短期贷款、结算及相关的业务活动。而随着社会的进步，科技的发展，金融的创新，银行的业务在不断的拓展。</w:t>
      </w:r>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bookmarkStart w:id="20" w:name="_Toc19122"/>
      <w:r>
        <w:rPr>
          <w:rFonts w:hint="eastAsia" w:ascii="宋体" w:hAnsi="宋体" w:eastAsia="宋体" w:cs="宋体"/>
          <w:b w:val="0"/>
          <w:bCs w:val="0"/>
          <w:color w:val="auto"/>
          <w:sz w:val="21"/>
          <w:szCs w:val="21"/>
          <w:highlight w:val="none"/>
          <w:lang w:val="en-US" w:eastAsia="zh-CN"/>
        </w:rPr>
        <w:t>由于各国商业银行法定范围有差异，并伴随着金融不断的创新。</w:t>
      </w:r>
      <w:r>
        <w:rPr>
          <w:rStyle w:val="12"/>
          <w:rFonts w:hint="eastAsia" w:ascii="宋体" w:hAnsi="宋体" w:eastAsia="宋体" w:cs="宋体"/>
          <w:b w:val="0"/>
          <w:bCs w:val="0"/>
          <w:color w:val="auto"/>
          <w:sz w:val="21"/>
          <w:szCs w:val="21"/>
          <w:highlight w:val="none"/>
          <w:lang w:val="en-US" w:eastAsia="zh-CN"/>
        </w:rPr>
        <w:t>[</w:t>
      </w:r>
      <w:r>
        <w:rPr>
          <w:rStyle w:val="12"/>
          <w:rFonts w:hint="eastAsia" w:ascii="宋体" w:hAnsi="宋体" w:eastAsia="宋体" w:cs="宋体"/>
          <w:b w:val="0"/>
          <w:bCs w:val="0"/>
          <w:color w:val="auto"/>
          <w:sz w:val="21"/>
          <w:szCs w:val="21"/>
          <w:highlight w:val="none"/>
          <w:lang w:val="en-US" w:eastAsia="zh-CN"/>
        </w:rPr>
        <w:footnoteReference w:id="107"/>
      </w:r>
      <w:r>
        <w:rPr>
          <w:rStyle w:val="12"/>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商业银行的业务分为负债业务，资产业务和中间业务。</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val="0"/>
          <w:bCs w:val="0"/>
          <w:color w:val="auto"/>
          <w:sz w:val="21"/>
          <w:szCs w:val="21"/>
          <w:highlight w:val="none"/>
          <w:lang w:val="en-US" w:eastAsia="zh-CN"/>
        </w:rPr>
      </w:pPr>
      <w:bookmarkStart w:id="21" w:name="_Toc7469"/>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负债业务</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val="0"/>
          <w:bCs w:val="0"/>
          <w:color w:val="auto"/>
          <w:sz w:val="21"/>
          <w:szCs w:val="21"/>
          <w:highlight w:val="none"/>
          <w:lang w:val="en-US" w:eastAsia="zh-CN"/>
        </w:rPr>
      </w:pPr>
      <w:bookmarkStart w:id="22" w:name="_Toc17032"/>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负债业务是形成银行资金来源的各项业务。其主要形式是吸收存款，、发行金融债券、借款以及交易往来中的应付款等。</w:t>
      </w:r>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val="0"/>
          <w:bCs w:val="0"/>
          <w:color w:val="auto"/>
          <w:sz w:val="21"/>
          <w:szCs w:val="21"/>
          <w:highlight w:val="none"/>
          <w:lang w:val="en-US" w:eastAsia="zh-CN"/>
        </w:rPr>
      </w:pPr>
      <w:bookmarkStart w:id="23" w:name="_Toc23300"/>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资产业务</w:t>
      </w:r>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val="0"/>
          <w:bCs w:val="0"/>
          <w:color w:val="auto"/>
          <w:sz w:val="21"/>
          <w:szCs w:val="21"/>
          <w:highlight w:val="none"/>
          <w:lang w:val="en-US" w:eastAsia="zh-CN"/>
        </w:rPr>
      </w:pPr>
      <w:bookmarkStart w:id="24" w:name="_Toc6932"/>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资产业务是银行运用资金的各种业务，是银行取得收益的主要途径，包括贷款和投资两大类。其中贷款是主要的资产业务。</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val="0"/>
          <w:bCs w:val="0"/>
          <w:color w:val="auto"/>
          <w:sz w:val="21"/>
          <w:szCs w:val="21"/>
          <w:highlight w:val="none"/>
          <w:lang w:val="en-US" w:eastAsia="zh-CN"/>
        </w:rPr>
      </w:pPr>
      <w:bookmarkStart w:id="25" w:name="_Toc5322"/>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中间业务</w:t>
      </w:r>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jc w:val="both"/>
        <w:textAlignment w:val="auto"/>
        <w:outlineLvl w:val="9"/>
        <w:rPr>
          <w:rFonts w:hint="eastAsia" w:ascii="宋体" w:hAnsi="宋体" w:eastAsia="宋体" w:cs="宋体"/>
          <w:b w:val="0"/>
          <w:bCs w:val="0"/>
          <w:color w:val="auto"/>
          <w:sz w:val="21"/>
          <w:szCs w:val="21"/>
          <w:highlight w:val="none"/>
          <w:lang w:val="en-US" w:eastAsia="zh-CN"/>
        </w:rPr>
      </w:pPr>
      <w:bookmarkStart w:id="26" w:name="_Toc13987"/>
      <w:r>
        <w:rPr>
          <w:rFonts w:hint="eastAsia" w:ascii="宋体" w:hAnsi="宋体" w:eastAsia="宋体" w:cs="宋体"/>
          <w:b w:val="0"/>
          <w:bCs w:val="0"/>
          <w:color w:val="auto"/>
          <w:sz w:val="21"/>
          <w:szCs w:val="21"/>
          <w:highlight w:val="none"/>
          <w:lang w:val="en-US" w:eastAsia="zh-CN"/>
        </w:rPr>
        <w:t>随着金融创新的不断丰富，银行出现了新兴业务。中间业务就是其中的一类。中间业务是商业银行为客户提供服务收取手续费等非利息收入的业务。商业银行在办理中间业务时，不直接作为信用活动的一方出现。</w:t>
      </w:r>
      <w:bookmarkEnd w:id="26"/>
      <w:bookmarkStart w:id="27" w:name="_Toc11803"/>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中间业务一般不运用或较少运用银行资金，主要利用自己的人力资源、市场信息和现代电信技术与设备提供各项金融服务，并收取手续的中介业务。根据我国</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商业银行法</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相关规定，中间业务一般分为九大类。其中银行卡业务在中间业务中占有很重要的地位。第三条规定了本文所论述的银行的ATM机业务就是属于银行卡业务的一部分。</w:t>
      </w:r>
      <w:bookmarkEnd w:id="27"/>
      <w:bookmarkStart w:id="28" w:name="_Toc21210"/>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若将银行业务负债、资产业务看做一般银行业务的话，中间业务可以说是新兴的业务，也是本文提到和研究的最多的业务。我国《商业银行法》第三条规定了我国商业银行可经营的业务，其中第十项规定的是银行卡业务。</w:t>
      </w:r>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（4）ATM机业务</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val="0"/>
          <w:i w:val="0"/>
          <w:caps w:val="0"/>
          <w:color w:val="auto"/>
          <w:spacing w:val="0"/>
          <w:sz w:val="21"/>
          <w:szCs w:val="21"/>
          <w:shd w:val="clear" w:color="auto" w:fill="FFFFFF"/>
        </w:rPr>
      </w:pPr>
      <w:r>
        <w:rPr>
          <w:rFonts w:hint="eastAsia" w:ascii="宋体" w:hAnsi="宋体" w:cs="宋体"/>
          <w:b w:val="0"/>
          <w:bCs w:val="0"/>
          <w:color w:val="auto"/>
          <w:sz w:val="21"/>
          <w:szCs w:val="21"/>
          <w:highlight w:val="none"/>
          <w:lang w:val="en-US" w:eastAsia="zh-CN"/>
        </w:rPr>
        <w:t xml:space="preserve">    ATM 机业务主要是客户通过使用银行卡在 ATM 机上操作来完成和银行的交易。其主要业务种类包括：</w:t>
      </w:r>
      <w:r>
        <w:rPr>
          <w:rFonts w:hint="eastAsia" w:ascii="宋体" w:hAnsi="宋体" w:eastAsia="宋体" w:cs="宋体"/>
          <w:b w:val="0"/>
          <w:i w:val="0"/>
          <w:caps w:val="0"/>
          <w:color w:val="auto"/>
          <w:spacing w:val="0"/>
          <w:sz w:val="21"/>
          <w:szCs w:val="21"/>
          <w:shd w:val="clear" w:color="auto" w:fill="FFFFFF"/>
        </w:rPr>
        <w:t>现金取款、现金存款、现金存取款、余额查询、本行或异行转账、修改密码等基本功能；有些多功能ATM还提供诸如存折打印、</w:t>
      </w:r>
      <w:r>
        <w:rPr>
          <w:rFonts w:hint="eastAsia" w:ascii="宋体" w:hAnsi="宋体" w:eastAsia="宋体" w:cs="宋体"/>
          <w:b w:val="0"/>
          <w:i w:val="0"/>
          <w:caps w:val="0"/>
          <w:color w:val="auto"/>
          <w:spacing w:val="0"/>
          <w:sz w:val="21"/>
          <w:szCs w:val="21"/>
          <w:u w:val="none"/>
          <w:shd w:val="clear" w:color="auto" w:fill="FFFFFF"/>
        </w:rPr>
        <w:fldChar w:fldCharType="begin"/>
      </w:r>
      <w:r>
        <w:rPr>
          <w:rFonts w:hint="eastAsia" w:ascii="宋体" w:hAnsi="宋体" w:eastAsia="宋体" w:cs="宋体"/>
          <w:b w:val="0"/>
          <w:i w:val="0"/>
          <w:caps w:val="0"/>
          <w:color w:val="auto"/>
          <w:spacing w:val="0"/>
          <w:sz w:val="21"/>
          <w:szCs w:val="21"/>
          <w:u w:val="none"/>
          <w:shd w:val="clear" w:color="auto" w:fill="FFFFFF"/>
        </w:rPr>
        <w:instrText xml:space="preserve"> HYPERLINK "http://www.haosou.com/s?q=%E5%AF%B9%E8%B4%A6%E5%8D%95&amp;ie=utf-8&amp;src=wenda_link" \t "http://wenda.haosou.com/q/_blank" </w:instrText>
      </w:r>
      <w:r>
        <w:rPr>
          <w:rFonts w:hint="eastAsia" w:ascii="宋体" w:hAnsi="宋体" w:eastAsia="宋体" w:cs="宋体"/>
          <w:b w:val="0"/>
          <w:i w:val="0"/>
          <w:caps w:val="0"/>
          <w:color w:val="auto"/>
          <w:spacing w:val="0"/>
          <w:sz w:val="21"/>
          <w:szCs w:val="21"/>
          <w:u w:val="none"/>
          <w:shd w:val="clear" w:color="auto" w:fill="FFFFFF"/>
        </w:rPr>
        <w:fldChar w:fldCharType="separate"/>
      </w:r>
      <w:r>
        <w:rPr>
          <w:rStyle w:val="11"/>
          <w:rFonts w:hint="eastAsia" w:ascii="宋体" w:hAnsi="宋体" w:eastAsia="宋体" w:cs="宋体"/>
          <w:b w:val="0"/>
          <w:i w:val="0"/>
          <w:caps w:val="0"/>
          <w:color w:val="auto"/>
          <w:spacing w:val="0"/>
          <w:sz w:val="21"/>
          <w:szCs w:val="21"/>
          <w:u w:val="none"/>
          <w:shd w:val="clear" w:color="auto" w:fill="FFFFFF"/>
        </w:rPr>
        <w:t>对账单</w:t>
      </w:r>
      <w:r>
        <w:rPr>
          <w:rFonts w:hint="eastAsia" w:ascii="宋体" w:hAnsi="宋体" w:eastAsia="宋体" w:cs="宋体"/>
          <w:b w:val="0"/>
          <w:i w:val="0"/>
          <w:caps w:val="0"/>
          <w:color w:val="auto"/>
          <w:spacing w:val="0"/>
          <w:sz w:val="21"/>
          <w:szCs w:val="21"/>
          <w:u w:val="none"/>
          <w:shd w:val="clear" w:color="auto" w:fill="FFFFFF"/>
        </w:rPr>
        <w:fldChar w:fldCharType="end"/>
      </w:r>
      <w:r>
        <w:rPr>
          <w:rFonts w:hint="eastAsia" w:ascii="宋体" w:hAnsi="宋体" w:eastAsia="宋体" w:cs="宋体"/>
          <w:b w:val="0"/>
          <w:i w:val="0"/>
          <w:caps w:val="0"/>
          <w:color w:val="auto"/>
          <w:spacing w:val="0"/>
          <w:sz w:val="21"/>
          <w:szCs w:val="21"/>
          <w:shd w:val="clear" w:color="auto" w:fill="FFFFFF"/>
        </w:rPr>
        <w:t>打印、</w:t>
      </w:r>
      <w:r>
        <w:rPr>
          <w:rFonts w:hint="eastAsia" w:ascii="宋体" w:hAnsi="宋体" w:eastAsia="宋体" w:cs="宋体"/>
          <w:b w:val="0"/>
          <w:i w:val="0"/>
          <w:caps w:val="0"/>
          <w:color w:val="auto"/>
          <w:spacing w:val="0"/>
          <w:sz w:val="21"/>
          <w:szCs w:val="21"/>
          <w:u w:val="none"/>
          <w:shd w:val="clear" w:color="auto" w:fill="FFFFFF"/>
        </w:rPr>
        <w:fldChar w:fldCharType="begin"/>
      </w:r>
      <w:r>
        <w:rPr>
          <w:rFonts w:hint="eastAsia" w:ascii="宋体" w:hAnsi="宋体" w:eastAsia="宋体" w:cs="宋体"/>
          <w:b w:val="0"/>
          <w:i w:val="0"/>
          <w:caps w:val="0"/>
          <w:color w:val="auto"/>
          <w:spacing w:val="0"/>
          <w:sz w:val="21"/>
          <w:szCs w:val="21"/>
          <w:u w:val="none"/>
          <w:shd w:val="clear" w:color="auto" w:fill="FFFFFF"/>
        </w:rPr>
        <w:instrText xml:space="preserve"> HYPERLINK "http://www.haosou.com/s?q=%E6%94%AF%E7%A5%A8&amp;ie=utf-8&amp;src=wenda_link" \t "http://wenda.haosou.com/q/_blank" </w:instrText>
      </w:r>
      <w:r>
        <w:rPr>
          <w:rFonts w:hint="eastAsia" w:ascii="宋体" w:hAnsi="宋体" w:eastAsia="宋体" w:cs="宋体"/>
          <w:b w:val="0"/>
          <w:i w:val="0"/>
          <w:caps w:val="0"/>
          <w:color w:val="auto"/>
          <w:spacing w:val="0"/>
          <w:sz w:val="21"/>
          <w:szCs w:val="21"/>
          <w:u w:val="none"/>
          <w:shd w:val="clear" w:color="auto" w:fill="FFFFFF"/>
        </w:rPr>
        <w:fldChar w:fldCharType="separate"/>
      </w:r>
      <w:r>
        <w:rPr>
          <w:rStyle w:val="11"/>
          <w:rFonts w:hint="eastAsia" w:ascii="宋体" w:hAnsi="宋体" w:eastAsia="宋体" w:cs="宋体"/>
          <w:b w:val="0"/>
          <w:i w:val="0"/>
          <w:caps w:val="0"/>
          <w:color w:val="auto"/>
          <w:spacing w:val="0"/>
          <w:sz w:val="21"/>
          <w:szCs w:val="21"/>
          <w:u w:val="none"/>
          <w:shd w:val="clear" w:color="auto" w:fill="FFFFFF"/>
        </w:rPr>
        <w:t>支票</w:t>
      </w:r>
      <w:r>
        <w:rPr>
          <w:rFonts w:hint="eastAsia" w:ascii="宋体" w:hAnsi="宋体" w:eastAsia="宋体" w:cs="宋体"/>
          <w:b w:val="0"/>
          <w:i w:val="0"/>
          <w:caps w:val="0"/>
          <w:color w:val="auto"/>
          <w:spacing w:val="0"/>
          <w:sz w:val="21"/>
          <w:szCs w:val="21"/>
          <w:u w:val="none"/>
          <w:shd w:val="clear" w:color="auto" w:fill="FFFFFF"/>
        </w:rPr>
        <w:fldChar w:fldCharType="end"/>
      </w:r>
      <w:r>
        <w:rPr>
          <w:rFonts w:hint="eastAsia" w:ascii="宋体" w:hAnsi="宋体" w:eastAsia="宋体" w:cs="宋体"/>
          <w:b w:val="0"/>
          <w:i w:val="0"/>
          <w:caps w:val="0"/>
          <w:color w:val="auto"/>
          <w:spacing w:val="0"/>
          <w:sz w:val="21"/>
          <w:szCs w:val="21"/>
          <w:shd w:val="clear" w:color="auto" w:fill="FFFFFF"/>
        </w:rPr>
        <w:t>存款、信封存款、</w:t>
      </w:r>
      <w:r>
        <w:rPr>
          <w:rFonts w:hint="eastAsia" w:ascii="宋体" w:hAnsi="宋体" w:eastAsia="宋体" w:cs="宋体"/>
          <w:b w:val="0"/>
          <w:i w:val="0"/>
          <w:caps w:val="0"/>
          <w:color w:val="auto"/>
          <w:spacing w:val="0"/>
          <w:sz w:val="21"/>
          <w:szCs w:val="21"/>
          <w:u w:val="none"/>
          <w:shd w:val="clear" w:color="auto" w:fill="FFFFFF"/>
        </w:rPr>
        <w:fldChar w:fldCharType="begin"/>
      </w:r>
      <w:r>
        <w:rPr>
          <w:rFonts w:hint="eastAsia" w:ascii="宋体" w:hAnsi="宋体" w:eastAsia="宋体" w:cs="宋体"/>
          <w:b w:val="0"/>
          <w:i w:val="0"/>
          <w:caps w:val="0"/>
          <w:color w:val="auto"/>
          <w:spacing w:val="0"/>
          <w:sz w:val="21"/>
          <w:szCs w:val="21"/>
          <w:u w:val="none"/>
          <w:shd w:val="clear" w:color="auto" w:fill="FFFFFF"/>
        </w:rPr>
        <w:instrText xml:space="preserve"> HYPERLINK "http://www.haosou.com/s?q=%E7%BC%B4%E8%B4%B9&amp;ie=utf-8&amp;src=wenda_link" \t "http://wenda.haosou.com/q/_blank" </w:instrText>
      </w:r>
      <w:r>
        <w:rPr>
          <w:rFonts w:hint="eastAsia" w:ascii="宋体" w:hAnsi="宋体" w:eastAsia="宋体" w:cs="宋体"/>
          <w:b w:val="0"/>
          <w:i w:val="0"/>
          <w:caps w:val="0"/>
          <w:color w:val="auto"/>
          <w:spacing w:val="0"/>
          <w:sz w:val="21"/>
          <w:szCs w:val="21"/>
          <w:u w:val="none"/>
          <w:shd w:val="clear" w:color="auto" w:fill="FFFFFF"/>
        </w:rPr>
        <w:fldChar w:fldCharType="separate"/>
      </w:r>
      <w:r>
        <w:rPr>
          <w:rStyle w:val="11"/>
          <w:rFonts w:hint="eastAsia" w:ascii="宋体" w:hAnsi="宋体" w:eastAsia="宋体" w:cs="宋体"/>
          <w:b w:val="0"/>
          <w:i w:val="0"/>
          <w:caps w:val="0"/>
          <w:color w:val="auto"/>
          <w:spacing w:val="0"/>
          <w:sz w:val="21"/>
          <w:szCs w:val="21"/>
          <w:u w:val="none"/>
          <w:shd w:val="clear" w:color="auto" w:fill="FFFFFF"/>
        </w:rPr>
        <w:t>缴费</w:t>
      </w:r>
      <w:r>
        <w:rPr>
          <w:rFonts w:hint="eastAsia" w:ascii="宋体" w:hAnsi="宋体" w:eastAsia="宋体" w:cs="宋体"/>
          <w:b w:val="0"/>
          <w:i w:val="0"/>
          <w:caps w:val="0"/>
          <w:color w:val="auto"/>
          <w:spacing w:val="0"/>
          <w:sz w:val="21"/>
          <w:szCs w:val="21"/>
          <w:u w:val="none"/>
          <w:shd w:val="clear" w:color="auto" w:fill="FFFFFF"/>
        </w:rPr>
        <w:fldChar w:fldCharType="end"/>
      </w:r>
      <w:r>
        <w:rPr>
          <w:rFonts w:hint="eastAsia" w:ascii="宋体" w:hAnsi="宋体" w:eastAsia="宋体" w:cs="宋体"/>
          <w:b w:val="0"/>
          <w:i w:val="0"/>
          <w:caps w:val="0"/>
          <w:color w:val="auto"/>
          <w:spacing w:val="0"/>
          <w:sz w:val="21"/>
          <w:szCs w:val="21"/>
          <w:shd w:val="clear" w:color="auto" w:fill="FFFFFF"/>
        </w:rPr>
        <w:t>、充值等一系列便捷服务。</w:t>
      </w:r>
      <w:bookmarkStart w:id="29" w:name="_Toc7317"/>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1"/>
        <w:rPr>
          <w:rFonts w:hint="eastAsia" w:ascii="宋体" w:hAnsi="宋体" w:eastAsia="宋体" w:cs="宋体"/>
          <w:b/>
          <w:bCs/>
          <w:color w:val="auto"/>
          <w:sz w:val="24"/>
          <w:szCs w:val="24"/>
          <w:highlight w:val="none"/>
          <w:lang w:val="en-US" w:eastAsia="zh-CN"/>
        </w:rPr>
      </w:pPr>
      <w:bookmarkStart w:id="30" w:name="_Toc15737"/>
      <w:r>
        <w:rPr>
          <w:rFonts w:hint="eastAsia" w:ascii="宋体" w:hAnsi="宋体" w:eastAsia="宋体" w:cs="宋体"/>
          <w:b/>
          <w:bCs/>
          <w:color w:val="auto"/>
          <w:sz w:val="24"/>
          <w:szCs w:val="24"/>
          <w:highlight w:val="none"/>
          <w:lang w:val="en-US" w:eastAsia="zh-CN"/>
        </w:rPr>
        <w:t>（三）银行客户</w:t>
      </w:r>
      <w:bookmarkEnd w:id="11"/>
      <w:bookmarkEnd w:id="29"/>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客户这个概念在中国现行的法律中并未给出准确明晰的定义。大多数认可银行客户的概念是指在银行开立账户并委托银行办理银行业务的人。</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8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所以，银行通过银行账户与客户发生关系。一个人要成为银行客户，通常必须持有银行的某种账户，账户一经开立，开户者即成为客户。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jc w:val="both"/>
        <w:textAlignment w:val="auto"/>
        <w:outlineLvl w:val="9"/>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0"/>
        <w:rPr>
          <w:rFonts w:hint="eastAsia" w:ascii="宋体" w:hAnsi="宋体" w:eastAsia="宋体" w:cs="宋体"/>
          <w:b/>
          <w:bCs/>
          <w:color w:val="auto"/>
          <w:sz w:val="24"/>
          <w:szCs w:val="24"/>
          <w:highlight w:val="none"/>
          <w:lang w:val="en-US" w:eastAsia="zh-CN"/>
        </w:rPr>
      </w:pPr>
      <w:bookmarkStart w:id="31" w:name="_Toc19241"/>
      <w:bookmarkStart w:id="32" w:name="_Toc1264"/>
      <w:r>
        <w:rPr>
          <w:rFonts w:hint="eastAsia" w:ascii="黑体" w:hAnsi="黑体" w:eastAsia="黑体" w:cs="黑体"/>
          <w:b/>
          <w:bCs/>
          <w:color w:val="auto"/>
          <w:sz w:val="28"/>
          <w:szCs w:val="28"/>
          <w:highlight w:val="none"/>
          <w:lang w:val="en-US" w:eastAsia="zh-CN"/>
        </w:rPr>
        <w:t>三、银行和客户法律关系</w:t>
      </w:r>
      <w:bookmarkEnd w:id="31"/>
      <w:bookmarkEnd w:id="32"/>
      <w:bookmarkStart w:id="33" w:name="_Toc11502"/>
      <w:bookmarkStart w:id="34" w:name="_Toc8985"/>
      <w:bookmarkStart w:id="35" w:name="_Toc16656"/>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（一）一般业务下银行与客户的法律关系</w:t>
      </w:r>
      <w:bookmarkEnd w:id="33"/>
      <w:bookmarkEnd w:id="34"/>
      <w:bookmarkEnd w:id="35"/>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2"/>
        <w:rPr>
          <w:rFonts w:hint="eastAsia" w:ascii="宋体" w:hAnsi="宋体" w:eastAsia="宋体" w:cs="宋体"/>
          <w:b w:val="0"/>
          <w:bCs w:val="0"/>
          <w:color w:val="auto"/>
          <w:sz w:val="21"/>
          <w:szCs w:val="21"/>
          <w:highlight w:val="none"/>
          <w:lang w:val="en-US" w:eastAsia="zh-CN"/>
        </w:rPr>
      </w:pPr>
      <w:bookmarkStart w:id="36" w:name="_Toc26983"/>
      <w:bookmarkStart w:id="37" w:name="_Toc11173"/>
      <w:bookmarkStart w:id="38" w:name="_Toc6671"/>
      <w:r>
        <w:rPr>
          <w:rFonts w:hint="default" w:ascii="Times New Roman" w:hAnsi="Times New Roman" w:eastAsia="宋体" w:cs="Times New Roman"/>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负债业务下银行与客户的法律关系</w:t>
      </w:r>
      <w:bookmarkEnd w:id="36"/>
      <w:bookmarkEnd w:id="37"/>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bookmarkStart w:id="39" w:name="_Toc21372"/>
      <w:r>
        <w:rPr>
          <w:rFonts w:hint="eastAsia" w:ascii="宋体" w:hAnsi="宋体" w:eastAsia="宋体" w:cs="宋体"/>
          <w:b w:val="0"/>
          <w:bCs w:val="0"/>
          <w:color w:val="auto"/>
          <w:sz w:val="21"/>
          <w:szCs w:val="21"/>
          <w:highlight w:val="none"/>
          <w:lang w:val="en-US" w:eastAsia="zh-CN"/>
        </w:rPr>
        <w:t>负债业务其主要形式是吸收存款，</w:t>
      </w:r>
      <w:r>
        <w:rPr>
          <w:rStyle w:val="12"/>
          <w:rFonts w:hint="eastAsia" w:ascii="宋体" w:hAnsi="宋体" w:eastAsia="宋体" w:cs="宋体"/>
          <w:b w:val="0"/>
          <w:bCs w:val="0"/>
          <w:color w:val="auto"/>
          <w:sz w:val="21"/>
          <w:szCs w:val="21"/>
          <w:highlight w:val="none"/>
          <w:lang w:val="en-US" w:eastAsia="zh-CN"/>
        </w:rPr>
        <w:t>[</w:t>
      </w:r>
      <w:r>
        <w:rPr>
          <w:rStyle w:val="12"/>
          <w:rFonts w:hint="eastAsia" w:ascii="宋体" w:hAnsi="宋体" w:eastAsia="宋体" w:cs="宋体"/>
          <w:b w:val="0"/>
          <w:bCs w:val="0"/>
          <w:color w:val="auto"/>
          <w:sz w:val="21"/>
          <w:szCs w:val="21"/>
          <w:highlight w:val="none"/>
          <w:lang w:val="en-US" w:eastAsia="zh-CN"/>
        </w:rPr>
        <w:footnoteReference w:id="108"/>
      </w:r>
      <w:r>
        <w:rPr>
          <w:rStyle w:val="12"/>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从“存款所有权归属”的角度，日本和我国的台湾地区理论界有人主张，银行与客户的关系属于消费寄托关系。消费寄托合同关系的特征是，当一方将财产交予对方，对方取得交予物的所有权。但负有义务返还种类、数量、品质相同的物。</w:t>
      </w:r>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bookmarkStart w:id="40" w:name="_Toc32738"/>
      <w:r>
        <w:rPr>
          <w:rFonts w:hint="eastAsia" w:ascii="宋体" w:hAnsi="宋体" w:eastAsia="宋体" w:cs="宋体"/>
          <w:b w:val="0"/>
          <w:bCs w:val="0"/>
          <w:color w:val="auto"/>
          <w:sz w:val="21"/>
          <w:szCs w:val="21"/>
          <w:highlight w:val="none"/>
          <w:lang w:val="en-US" w:eastAsia="zh-CN"/>
        </w:rPr>
        <w:t>但现在很大一部分学者认为，银行与客户之间的存在的关系本质上是一种契约关系。在负债业务中，商业银行与相对人之间形成债权债务关系，相对人——客户是债权人，商业银行是债务人。</w:t>
      </w:r>
      <w:bookmarkEnd w:id="40"/>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2"/>
        <w:rPr>
          <w:rFonts w:hint="eastAsia" w:ascii="宋体" w:hAnsi="宋体" w:eastAsia="宋体" w:cs="宋体"/>
          <w:b w:val="0"/>
          <w:bCs w:val="0"/>
          <w:color w:val="auto"/>
          <w:sz w:val="21"/>
          <w:szCs w:val="21"/>
          <w:highlight w:val="none"/>
          <w:lang w:val="en-US" w:eastAsia="zh-CN"/>
        </w:rPr>
      </w:pPr>
      <w:bookmarkStart w:id="41" w:name="_Toc16095"/>
      <w:bookmarkStart w:id="42" w:name="_Toc30927"/>
      <w:r>
        <w:rPr>
          <w:rFonts w:hint="default" w:ascii="Times New Roman" w:hAnsi="Times New Roman" w:eastAsia="宋体" w:cs="Times New Roman"/>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.资产业务下银行与客户的法律关系</w:t>
      </w:r>
      <w:bookmarkEnd w:id="41"/>
      <w:bookmarkEnd w:id="42"/>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val="0"/>
          <w:bCs w:val="0"/>
          <w:color w:val="auto"/>
          <w:sz w:val="21"/>
          <w:szCs w:val="21"/>
          <w:highlight w:val="none"/>
          <w:lang w:val="en-US" w:eastAsia="zh-CN"/>
        </w:rPr>
      </w:pPr>
      <w:bookmarkStart w:id="43" w:name="_Toc25997"/>
      <w:r>
        <w:rPr>
          <w:rFonts w:hint="eastAsia" w:ascii="宋体" w:hAnsi="宋体" w:eastAsia="宋体" w:cs="宋体"/>
          <w:b w:val="0"/>
          <w:bCs w:val="0"/>
          <w:color w:val="auto"/>
          <w:sz w:val="21"/>
          <w:szCs w:val="21"/>
          <w:highlight w:val="none"/>
          <w:lang w:val="en-US" w:eastAsia="zh-CN"/>
        </w:rPr>
        <w:t xml:space="preserve">    资产业务中银行与客户的法律关系在本质上亦是一种契约关系。贷款是主要的资产业务，在贷款业务中，商业银行是债权人，借款人是债务人。</w:t>
      </w:r>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bookmarkStart w:id="44" w:name="_Toc30212"/>
      <w:r>
        <w:rPr>
          <w:rFonts w:hint="eastAsia" w:ascii="宋体" w:hAnsi="宋体" w:eastAsia="宋体" w:cs="宋体"/>
          <w:b w:val="0"/>
          <w:bCs w:val="0"/>
          <w:color w:val="auto"/>
          <w:sz w:val="21"/>
          <w:szCs w:val="21"/>
          <w:highlight w:val="none"/>
          <w:lang w:val="en-US" w:eastAsia="zh-CN"/>
        </w:rPr>
        <w:t>综上，在一般业务中，客户把自己的货币存入银行，形成存款关系；银行向客户发放贷款，形成贷款关系；两者都是银行与客户之间的最基本的契约关系——债权债务关系。</w:t>
      </w:r>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1"/>
        <w:rPr>
          <w:rFonts w:hint="eastAsia" w:ascii="宋体" w:hAnsi="宋体" w:eastAsia="宋体" w:cs="宋体"/>
          <w:b/>
          <w:bCs/>
          <w:color w:val="auto"/>
          <w:sz w:val="24"/>
          <w:szCs w:val="24"/>
          <w:highlight w:val="none"/>
          <w:lang w:val="en-US" w:eastAsia="zh-CN"/>
        </w:rPr>
      </w:pPr>
      <w:bookmarkStart w:id="45" w:name="_Toc21984"/>
      <w:bookmarkStart w:id="46" w:name="_Toc26829"/>
      <w:bookmarkStart w:id="47" w:name="_Toc5517"/>
      <w:r>
        <w:rPr>
          <w:rFonts w:hint="eastAsia" w:ascii="宋体" w:hAnsi="宋体" w:eastAsia="宋体" w:cs="宋体"/>
          <w:b/>
          <w:bCs/>
          <w:color w:val="auto"/>
          <w:sz w:val="24"/>
          <w:szCs w:val="24"/>
          <w:highlight w:val="none"/>
          <w:lang w:val="en-US" w:eastAsia="zh-CN"/>
        </w:rPr>
        <w:t>（二）ATM机业务下银行与客户之间的法律关系</w:t>
      </w:r>
      <w:bookmarkEnd w:id="45"/>
      <w:bookmarkEnd w:id="46"/>
      <w:bookmarkEnd w:id="47"/>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ATM 机业务主要是客户通过使用银行卡在 ATM 机上操作来完成和银行的交易。我国《银行卡业务管理办法》第二条规定，本法所称银行卡，是指由商业银行（含邮政金融机构）向社会发行的具有消费信用、转账结算、存取现金等全部或部分功能的信用支付工具。商业银行未经中国人民银行批准不得发行银行卡。</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前面叙述过ATM及业务的种类包括存取现金，但亦有转账、缴费等功能，在不同的业务中，其法律关系的内容是不同的。</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2"/>
        <w:rPr>
          <w:rFonts w:hint="eastAsia" w:ascii="宋体" w:hAnsi="宋体" w:eastAsia="宋体" w:cs="宋体"/>
          <w:b w:val="0"/>
          <w:bCs w:val="0"/>
          <w:color w:val="auto"/>
          <w:sz w:val="21"/>
          <w:szCs w:val="21"/>
          <w:highlight w:val="none"/>
          <w:lang w:val="en-US" w:eastAsia="zh-CN"/>
        </w:rPr>
      </w:pPr>
      <w:bookmarkStart w:id="48" w:name="_Toc18597"/>
      <w:r>
        <w:rPr>
          <w:rFonts w:hint="default" w:ascii="Times New Roman" w:hAnsi="Times New Roman" w:eastAsia="宋体" w:cs="Times New Roman"/>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债权债务关系</w:t>
      </w:r>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lang w:val="en-US" w:eastAsia="zh-CN"/>
        </w:rPr>
        <w:t>我国《银行卡业务管理办法》规定：银行卡分为信用卡和借记卡。银行卡具有储蓄功能，持卡人凭卡可以在发卡银行指定的营业机构或者储蓄所存取款项，从这个意义上说，持卡人与发卡银行之间的法律关系是一种储蓄关系。但是，在信用卡业务中，持卡人购物消费所支付的款项超过其存款账户余额时，发卡银行允许持卡人在规定的限额内善意透支，即向其提供一种消费信贷，这时持卡人与发卡银行之间就发生借贷法律关系。由此可见，发卡银行与持卡人之间债务法律关系的主体具有不特定性。当持卡人账户上有存款余额时，持卡人是债权人，发卡银行是债务人；当持卡人因取现、购物、消费等行为而出现透支时，持卡人是债务人，发卡银行则是债权人。</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2"/>
        <w:rPr>
          <w:rFonts w:hint="eastAsia" w:ascii="宋体" w:hAnsi="宋体" w:eastAsia="宋体" w:cs="宋体"/>
          <w:b w:val="0"/>
          <w:bCs w:val="0"/>
          <w:color w:val="auto"/>
          <w:sz w:val="21"/>
          <w:szCs w:val="21"/>
          <w:highlight w:val="none"/>
          <w:lang w:val="en-US" w:eastAsia="zh-CN"/>
        </w:rPr>
      </w:pPr>
      <w:bookmarkStart w:id="49" w:name="_Toc5334"/>
      <w:r>
        <w:rPr>
          <w:rFonts w:hint="default" w:ascii="Times New Roman" w:hAnsi="Times New Roman" w:eastAsia="宋体" w:cs="Times New Roman"/>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代理关系</w:t>
      </w:r>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bCs w:val="0"/>
          <w:color w:val="auto"/>
          <w:sz w:val="21"/>
          <w:szCs w:val="21"/>
          <w:highlight w:val="none"/>
          <w:lang w:val="en-US" w:eastAsia="zh-CN"/>
        </w:rPr>
        <w:t>由于ATM机业务包括</w:t>
      </w:r>
      <w:r>
        <w:rPr>
          <w:rFonts w:hint="eastAsia" w:ascii="宋体" w:hAnsi="宋体" w:eastAsia="宋体" w:cs="宋体"/>
          <w:b w:val="0"/>
          <w:i w:val="0"/>
          <w:caps w:val="0"/>
          <w:color w:val="auto"/>
          <w:spacing w:val="0"/>
          <w:sz w:val="21"/>
          <w:szCs w:val="21"/>
          <w:shd w:val="clear" w:color="auto" w:fill="FFFFFF"/>
        </w:rPr>
        <w:t>本行或异行转账、</w:t>
      </w:r>
      <w:r>
        <w:rPr>
          <w:rFonts w:hint="eastAsia" w:ascii="宋体" w:hAnsi="宋体" w:eastAsia="宋体" w:cs="宋体"/>
          <w:b w:val="0"/>
          <w:i w:val="0"/>
          <w:caps w:val="0"/>
          <w:color w:val="auto"/>
          <w:spacing w:val="0"/>
          <w:sz w:val="21"/>
          <w:szCs w:val="21"/>
          <w:u w:val="none"/>
          <w:shd w:val="clear" w:color="auto" w:fill="FFFFFF"/>
        </w:rPr>
        <w:fldChar w:fldCharType="begin"/>
      </w:r>
      <w:r>
        <w:rPr>
          <w:rFonts w:hint="eastAsia" w:ascii="宋体" w:hAnsi="宋体" w:eastAsia="宋体" w:cs="宋体"/>
          <w:b w:val="0"/>
          <w:i w:val="0"/>
          <w:caps w:val="0"/>
          <w:color w:val="auto"/>
          <w:spacing w:val="0"/>
          <w:sz w:val="21"/>
          <w:szCs w:val="21"/>
          <w:u w:val="none"/>
          <w:shd w:val="clear" w:color="auto" w:fill="FFFFFF"/>
        </w:rPr>
        <w:instrText xml:space="preserve"> HYPERLINK "http://www.haosou.com/s?q=%E7%BC%B4%E8%B4%B9&amp;ie=utf-8&amp;src=wenda_link" \t "http://wenda.haosou.com/q/_blank" </w:instrText>
      </w:r>
      <w:r>
        <w:rPr>
          <w:rFonts w:hint="eastAsia" w:ascii="宋体" w:hAnsi="宋体" w:eastAsia="宋体" w:cs="宋体"/>
          <w:b w:val="0"/>
          <w:i w:val="0"/>
          <w:caps w:val="0"/>
          <w:color w:val="auto"/>
          <w:spacing w:val="0"/>
          <w:sz w:val="21"/>
          <w:szCs w:val="21"/>
          <w:u w:val="none"/>
          <w:shd w:val="clear" w:color="auto" w:fill="FFFFFF"/>
        </w:rPr>
        <w:fldChar w:fldCharType="separate"/>
      </w:r>
      <w:r>
        <w:rPr>
          <w:rStyle w:val="11"/>
          <w:rFonts w:hint="eastAsia" w:ascii="宋体" w:hAnsi="宋体" w:eastAsia="宋体" w:cs="宋体"/>
          <w:b w:val="0"/>
          <w:i w:val="0"/>
          <w:caps w:val="0"/>
          <w:color w:val="auto"/>
          <w:spacing w:val="0"/>
          <w:sz w:val="21"/>
          <w:szCs w:val="21"/>
          <w:u w:val="none"/>
          <w:shd w:val="clear" w:color="auto" w:fill="FFFFFF"/>
        </w:rPr>
        <w:t>缴费</w:t>
      </w:r>
      <w:r>
        <w:rPr>
          <w:rFonts w:hint="eastAsia" w:ascii="宋体" w:hAnsi="宋体" w:eastAsia="宋体" w:cs="宋体"/>
          <w:b w:val="0"/>
          <w:i w:val="0"/>
          <w:caps w:val="0"/>
          <w:color w:val="auto"/>
          <w:spacing w:val="0"/>
          <w:sz w:val="21"/>
          <w:szCs w:val="21"/>
          <w:u w:val="none"/>
          <w:shd w:val="clear" w:color="auto" w:fill="FFFFFF"/>
        </w:rPr>
        <w:fldChar w:fldCharType="end"/>
      </w:r>
      <w:r>
        <w:rPr>
          <w:rFonts w:hint="eastAsia" w:ascii="宋体" w:hAnsi="宋体" w:eastAsia="宋体" w:cs="宋体"/>
          <w:b w:val="0"/>
          <w:i w:val="0"/>
          <w:caps w:val="0"/>
          <w:color w:val="auto"/>
          <w:spacing w:val="0"/>
          <w:sz w:val="21"/>
          <w:szCs w:val="21"/>
          <w:shd w:val="clear" w:color="auto" w:fill="FFFFFF"/>
        </w:rPr>
        <w:t>、充值等一系列便捷服务</w:t>
      </w:r>
      <w:r>
        <w:rPr>
          <w:rFonts w:hint="eastAsia" w:ascii="宋体" w:hAnsi="宋体" w:eastAsia="宋体" w:cs="宋体"/>
          <w:b w:val="0"/>
          <w:i w:val="0"/>
          <w:caps w:val="0"/>
          <w:color w:val="auto"/>
          <w:spacing w:val="0"/>
          <w:sz w:val="21"/>
          <w:szCs w:val="21"/>
          <w:shd w:val="clear" w:color="auto" w:fill="FFFFFF"/>
          <w:lang w:eastAsia="zh-CN"/>
        </w:rPr>
        <w:t>，在这些业务中法律关系的当事人不仅仅有银行和客户还有第三方当事人。根据不同的业务这个第三方当事人可以改变。如在跨行提现中，提供</w:t>
      </w:r>
      <w:r>
        <w:rPr>
          <w:rFonts w:hint="eastAsia" w:ascii="宋体" w:hAnsi="宋体" w:eastAsia="宋体" w:cs="宋体"/>
          <w:b w:val="0"/>
          <w:i w:val="0"/>
          <w:caps w:val="0"/>
          <w:color w:val="auto"/>
          <w:spacing w:val="0"/>
          <w:sz w:val="21"/>
          <w:szCs w:val="21"/>
          <w:shd w:val="clear" w:color="auto" w:fill="FFFFFF"/>
          <w:lang w:val="en-US" w:eastAsia="zh-CN"/>
        </w:rPr>
        <w:t>ATM机服务的中间银行是作为客户的代理人，向发卡行要求提取现金，因此在银行与客户的法律关系外，还存在着委托代理关系，持卡人作为委托人要支付手续费。在转账和缴费业务下，则是</w:t>
      </w:r>
      <w:r>
        <w:rPr>
          <w:rFonts w:hint="eastAsia" w:ascii="宋体" w:hAnsi="宋体" w:eastAsia="宋体" w:cs="宋体"/>
          <w:b w:val="0"/>
          <w:i w:val="0"/>
          <w:caps w:val="0"/>
          <w:color w:val="auto"/>
          <w:spacing w:val="0"/>
          <w:sz w:val="21"/>
          <w:szCs w:val="21"/>
          <w:shd w:val="clear" w:color="auto" w:fill="FFFFFF"/>
          <w:lang w:eastAsia="zh-CN"/>
        </w:rPr>
        <w:t>提供</w:t>
      </w:r>
      <w:r>
        <w:rPr>
          <w:rFonts w:hint="eastAsia" w:ascii="宋体" w:hAnsi="宋体" w:eastAsia="宋体" w:cs="宋体"/>
          <w:b w:val="0"/>
          <w:i w:val="0"/>
          <w:caps w:val="0"/>
          <w:color w:val="auto"/>
          <w:spacing w:val="0"/>
          <w:sz w:val="21"/>
          <w:szCs w:val="21"/>
          <w:shd w:val="clear" w:color="auto" w:fill="FFFFFF"/>
          <w:lang w:val="en-US" w:eastAsia="zh-CN"/>
        </w:rPr>
        <w:t>ATM机服务的银行是作为客户的代理人，向转账相对人或收缴单位提供款项。此时提供ATM机若为发卡行则银行与客户就是双重的法律关系，即债权债务关系和委托代理关系。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0"/>
        <w:rPr>
          <w:rFonts w:hint="eastAsia" w:ascii="黑体" w:hAnsi="黑体" w:eastAsia="黑体" w:cs="黑体"/>
          <w:b/>
          <w:bCs/>
          <w:color w:val="auto"/>
          <w:sz w:val="21"/>
          <w:szCs w:val="21"/>
          <w:highlight w:val="none"/>
          <w:lang w:val="en-US" w:eastAsia="zh-CN"/>
        </w:rPr>
      </w:pPr>
      <w:bookmarkStart w:id="50" w:name="_Toc232"/>
      <w:bookmarkStart w:id="51" w:name="_Toc15235"/>
      <w:bookmarkStart w:id="52" w:name="_Toc20183"/>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0"/>
        <w:rPr>
          <w:rFonts w:hint="eastAsia" w:ascii="宋体" w:hAnsi="宋体" w:eastAsia="宋体" w:cs="宋体"/>
          <w:b/>
          <w:bCs/>
          <w:color w:val="auto"/>
          <w:sz w:val="21"/>
          <w:szCs w:val="21"/>
          <w:highlight w:val="none"/>
          <w:lang w:val="en-US" w:eastAsia="zh-CN"/>
        </w:rPr>
      </w:pPr>
      <w:r>
        <w:rPr>
          <w:rFonts w:hint="eastAsia" w:ascii="黑体" w:hAnsi="黑体" w:eastAsia="黑体" w:cs="黑体"/>
          <w:b/>
          <w:bCs/>
          <w:color w:val="auto"/>
          <w:sz w:val="28"/>
          <w:szCs w:val="28"/>
          <w:highlight w:val="none"/>
          <w:lang w:val="en-US" w:eastAsia="zh-CN"/>
        </w:rPr>
        <w:t>四、银行ATM机业务法律性质概述</w:t>
      </w:r>
      <w:bookmarkEnd w:id="50"/>
      <w:bookmarkEnd w:id="51"/>
      <w:bookmarkEnd w:id="52"/>
      <w:bookmarkStart w:id="53" w:name="_Toc8375"/>
      <w:bookmarkStart w:id="54" w:name="_Toc12976"/>
      <w:bookmarkStart w:id="55" w:name="_Toc3203"/>
      <w:bookmarkStart w:id="56" w:name="_Toc11207"/>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1"/>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（一）银行ATM机属性</w:t>
      </w:r>
      <w:bookmarkEnd w:id="53"/>
      <w:bookmarkEnd w:id="54"/>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2"/>
        <w:rPr>
          <w:rFonts w:hint="eastAsia" w:ascii="宋体" w:hAnsi="宋体" w:eastAsia="宋体" w:cs="宋体"/>
          <w:b w:val="0"/>
          <w:bCs w:val="0"/>
          <w:color w:val="auto"/>
          <w:sz w:val="21"/>
          <w:szCs w:val="21"/>
          <w:highlight w:val="none"/>
          <w:lang w:val="en-US" w:eastAsia="zh-CN"/>
        </w:rPr>
      </w:pPr>
      <w:bookmarkStart w:id="57" w:name="_Toc8588"/>
      <w:bookmarkStart w:id="58" w:name="_Toc9404"/>
      <w:r>
        <w:rPr>
          <w:rFonts w:hint="default" w:ascii="Times New Roman" w:hAnsi="Times New Roman" w:eastAsia="宋体" w:cs="Times New Roman"/>
          <w:b w:val="0"/>
          <w:bCs w:val="0"/>
          <w:color w:val="auto"/>
          <w:sz w:val="21"/>
          <w:szCs w:val="21"/>
          <w:highlight w:val="none"/>
          <w:lang w:val="en-US" w:eastAsia="zh-CN"/>
        </w:rPr>
        <w:t>1.</w:t>
      </w:r>
      <w:r>
        <w:rPr>
          <w:rFonts w:hint="eastAsia" w:ascii="Times New Roman" w:hAnsi="Times New Roman" w:eastAsia="宋体" w:cs="Times New Roman"/>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ATM机商业</w:t>
      </w:r>
      <w:bookmarkEnd w:id="56"/>
      <w:r>
        <w:rPr>
          <w:rFonts w:hint="eastAsia" w:ascii="宋体" w:hAnsi="宋体" w:eastAsia="宋体" w:cs="宋体"/>
          <w:b w:val="0"/>
          <w:bCs w:val="0"/>
          <w:color w:val="auto"/>
          <w:sz w:val="21"/>
          <w:szCs w:val="21"/>
          <w:highlight w:val="none"/>
          <w:lang w:val="en-US" w:eastAsia="zh-CN"/>
        </w:rPr>
        <w:t>属性</w:t>
      </w:r>
      <w:r>
        <w:rPr>
          <w:rStyle w:val="12"/>
          <w:rFonts w:hint="eastAsia" w:ascii="宋体" w:hAnsi="宋体" w:eastAsia="宋体" w:cs="宋体"/>
          <w:b w:val="0"/>
          <w:bCs w:val="0"/>
          <w:color w:val="auto"/>
          <w:sz w:val="21"/>
          <w:szCs w:val="21"/>
          <w:highlight w:val="none"/>
          <w:lang w:val="en-US" w:eastAsia="zh-CN"/>
        </w:rPr>
        <w:t>[</w:t>
      </w:r>
      <w:r>
        <w:rPr>
          <w:rStyle w:val="12"/>
          <w:rFonts w:hint="eastAsia" w:ascii="宋体" w:hAnsi="宋体" w:eastAsia="宋体" w:cs="宋体"/>
          <w:b w:val="0"/>
          <w:bCs w:val="0"/>
          <w:color w:val="auto"/>
          <w:sz w:val="21"/>
          <w:szCs w:val="21"/>
          <w:highlight w:val="none"/>
          <w:lang w:val="en-US" w:eastAsia="zh-CN"/>
        </w:rPr>
        <w:footnoteReference w:id="109"/>
      </w:r>
      <w:bookmarkEnd w:id="57"/>
      <w:bookmarkEnd w:id="58"/>
      <w:r>
        <w:rPr>
          <w:rStyle w:val="12"/>
          <w:rFonts w:hint="eastAsia" w:ascii="宋体" w:hAnsi="宋体" w:eastAsia="宋体" w:cs="宋体"/>
          <w:b w:val="0"/>
          <w:bCs w:val="0"/>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关于ATM的商业属性，一般认为，ATM不是银行的分支机构，而是银行的一部分，是银行业务的延伸。在美国，《银行法》专门对ATM下了定义，将ATM分为：银行拥有的营业场所内的ATM和非银行/非银行营业场所的ATM。根据</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lang w:eastAsia="zh-CN"/>
        </w:rPr>
        <w:t>麦克菲登法》(McFaddenAct)中对银行分支机构的定义，和美国货币监理署k7.4003规则(Establish-mentandOperation ofRemote Service Units)，ATM不是银行的分支机构，货币监理署将ATM视同远程服务设备。再从法院和美国货币监理署对ATM相关案例的判定来看，进一步说明了ATM并不被视为银行的分支机构。货币监理署还规定ATM布放不受州有关地理和业务规定的限制,也不受州注册法的限制。</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考虑到各大金融机构近年来在中国的激烈竞争状况，我们可以得出这样的结论:各银行设立ATM的最初想法可能是为了客户取存现金的方便，是一项有效的便民措施，但银行最终目的却是为了扩大银行业务量、增加银行工作效率、降低运营成本,实现自己利益的最大化，使之在激烈的市场竞争中立于不败之地。因此，就ATM与银行的关系而言，ATM是银行的一种交易工具和服务手段，它本身不具备任何独立性，代表和执行的只能是银行的意志和利益。</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2"/>
        <w:rPr>
          <w:rFonts w:hint="eastAsia" w:ascii="宋体" w:hAnsi="宋体" w:eastAsia="宋体" w:cs="宋体"/>
          <w:b w:val="0"/>
          <w:bCs w:val="0"/>
          <w:color w:val="auto"/>
          <w:sz w:val="21"/>
          <w:szCs w:val="21"/>
          <w:highlight w:val="none"/>
          <w:lang w:val="en-US" w:eastAsia="zh-CN"/>
        </w:rPr>
      </w:pPr>
      <w:bookmarkStart w:id="59" w:name="_Toc29786"/>
      <w:bookmarkStart w:id="60" w:name="_Toc15440"/>
      <w:bookmarkStart w:id="61" w:name="_Toc29166"/>
      <w:r>
        <w:rPr>
          <w:rFonts w:hint="default" w:ascii="Times New Roman" w:hAnsi="Times New Roman" w:eastAsia="宋体" w:cs="Times New Roman"/>
          <w:b w:val="0"/>
          <w:bCs w:val="0"/>
          <w:color w:val="auto"/>
          <w:sz w:val="21"/>
          <w:szCs w:val="21"/>
          <w:highlight w:val="none"/>
          <w:lang w:val="en-US" w:eastAsia="zh-CN"/>
        </w:rPr>
        <w:t>2.</w:t>
      </w:r>
      <w:r>
        <w:rPr>
          <w:rFonts w:hint="eastAsia" w:ascii="Times New Roman" w:hAnsi="Times New Roman" w:eastAsia="宋体" w:cs="Times New Roman"/>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ATM双重法律属性</w:t>
      </w:r>
      <w:bookmarkEnd w:id="59"/>
      <w:bookmarkEnd w:id="60"/>
      <w:bookmarkEnd w:id="61"/>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关于ATM的法律属性，以前很少有研究者议论，我国的法律(包括法律解释)也没有涉及这方面。ATM具有双重法律属性:具备财物储藏功能的“保险柜”和具备业务交易功能的“电子代理人”。</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（1）ATM是具备财物储藏功能的保险柜。目前包括中国在内的世界各大银行的ATM大都采用加密键盘设备(EPP)。所以 ，从纯技术的角度来看，取款机只是一个保险柜，与普通保险柜不同的是它有电子机械技术输入输出系统，接受全电子用户ATM界面控制。</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2）具备业务交易功能的“电子代理人”。在传统的银行业务中，存款、取款或转账活动都是通过客户和银行工作人员面对面的对话进行的。而在ATM业务中，这些业务活动是通过“人机对话”的方式实现的。ATM是一种智能化系统，在交易过程中中发挥着类似银行工作人员的作用，因此被称为“电子代理人”(e-lectronic agent)。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电子代理人”概念最早出现在美国法律中。作为研究客户和ATM关系的概念，“电子代理人”是指在没有人操作的情况下，能够对某种电子信息独立地做出反应或采取措施的自动化系统。这一概念也被欧美一些国家和一些国际立法文件所采用，并承认其在电子交易中发挥的作用。</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由此可见，因为ATM的设立、维护、使用以及其资金来源、操作程序等都由其所有者银行提供和决定，因为ATM体现的“意思”是银行的“意思”，也因为ATM能够直接与客户进行“面对面”的交易，所以，完全可以将ATM看作是银行的一个“工作人员”，其行为是代表银行所做出的职务行为，和一般银行职员的工作行为并无本质的区别。</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1"/>
        <w:rPr>
          <w:rFonts w:hint="eastAsia" w:ascii="宋体" w:hAnsi="宋体" w:eastAsia="宋体" w:cs="宋体"/>
          <w:b/>
          <w:bCs/>
          <w:color w:val="auto"/>
          <w:sz w:val="24"/>
          <w:szCs w:val="24"/>
          <w:highlight w:val="none"/>
          <w:lang w:val="en-US" w:eastAsia="zh-CN"/>
        </w:rPr>
      </w:pPr>
      <w:bookmarkStart w:id="62" w:name="_Toc29994"/>
      <w:bookmarkStart w:id="63" w:name="_Toc26236"/>
      <w:bookmarkStart w:id="64" w:name="_Toc3866"/>
      <w:r>
        <w:rPr>
          <w:rFonts w:hint="eastAsia" w:ascii="宋体" w:hAnsi="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lang w:val="en-US" w:eastAsia="zh-CN"/>
        </w:rPr>
        <w:t>银行ATM故障内涵</w:t>
      </w:r>
      <w:bookmarkEnd w:id="62"/>
      <w:bookmarkEnd w:id="63"/>
      <w:bookmarkEnd w:id="64"/>
      <w:bookmarkStart w:id="65" w:name="_Toc25116"/>
      <w:bookmarkStart w:id="66" w:name="_Toc23766"/>
      <w:bookmarkStart w:id="67" w:name="_Toc28316"/>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1"/>
        <w:rPr>
          <w:rFonts w:hint="eastAsia" w:ascii="宋体" w:hAnsi="宋体" w:eastAsia="宋体" w:cs="宋体"/>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1.</w:t>
      </w:r>
      <w:r>
        <w:rPr>
          <w:rFonts w:hint="eastAsia" w:ascii="Times New Roman" w:hAnsi="Times New Roman" w:cs="Times New Roman"/>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ATM故障</w:t>
      </w:r>
      <w:bookmarkEnd w:id="65"/>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1"/>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   （1）概念</w:t>
      </w:r>
      <w:bookmarkEnd w:id="66"/>
      <w:bookmarkEnd w:id="67"/>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ATM机故障是指银行的电子化系统由于某种原因无法正常为客户提供服务而导致银行或者客户权益受到侵害，是ATM机处于一种不正常运行的状态。</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val="0"/>
          <w:bCs w:val="0"/>
          <w:color w:val="auto"/>
          <w:sz w:val="21"/>
          <w:szCs w:val="21"/>
          <w:highlight w:val="none"/>
          <w:lang w:val="en-US" w:eastAsia="zh-CN"/>
        </w:rPr>
      </w:pPr>
      <w:bookmarkStart w:id="68" w:name="_Toc25049"/>
      <w:bookmarkStart w:id="69" w:name="_Toc6768"/>
      <w:r>
        <w:rPr>
          <w:rFonts w:hint="eastAsia" w:ascii="宋体" w:hAnsi="宋体" w:eastAsia="宋体" w:cs="宋体"/>
          <w:b w:val="0"/>
          <w:bCs w:val="0"/>
          <w:color w:val="auto"/>
          <w:sz w:val="21"/>
          <w:szCs w:val="21"/>
          <w:highlight w:val="none"/>
          <w:lang w:val="en-US" w:eastAsia="zh-CN"/>
        </w:rPr>
        <w:t xml:space="preserve">   （2）种类</w:t>
      </w:r>
      <w:bookmarkEnd w:id="68"/>
      <w:bookmarkEnd w:id="69"/>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 xml:space="preserve">    根据持卡人在ATM上的操作流程，ATM 故障大致可以分为三类：第一类是，ATM吞卡。ATM 吞卡具体有以下几种情形: 一是持卡人将卡插入ATM之后，ATM直接将卡吞掉；二是插卡之后，输入取款金额后，未取现金即被吞卡，持卡人不清楚账户中的账面金额是否被划扣；三是输入金额，取出现金后，卡被机器吞掉，客户不能确定取出现金金额与账户划扣金额是否相等；四是插卡进行存款业务时，卡直接被吞；五是插卡存入现金后，卡被吞。第二类ATM故障是金额出错。金额出错又可以分为取款时金额出错和存款时金额出错两种。取款时ATM出错，是指ATM吐出现金金额与ATM虚拟电子账面下账金额不等。存款时ATM出错，是指ATM吸入现金金额与ATM虚拟电子账面上账金额不等。ATM故障的第三种类型是ATM吐出或吞入假钞。持卡人从ATM取出假钞或者是持卡人通过ATM存入假钞时，ATM未能识别。</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2"/>
        <w:rPr>
          <w:rFonts w:hint="eastAsia" w:ascii="宋体" w:hAnsi="宋体" w:eastAsia="宋体" w:cs="宋体"/>
          <w:b w:val="0"/>
          <w:bCs w:val="0"/>
          <w:color w:val="auto"/>
          <w:sz w:val="21"/>
          <w:szCs w:val="21"/>
          <w:lang w:eastAsia="zh-CN"/>
        </w:rPr>
      </w:pPr>
      <w:bookmarkStart w:id="70" w:name="_Toc16076"/>
      <w:bookmarkStart w:id="71" w:name="_Toc4009"/>
      <w:bookmarkStart w:id="72" w:name="_Toc32548"/>
      <w:r>
        <w:rPr>
          <w:rFonts w:hint="default" w:ascii="Times New Roman" w:hAnsi="Times New Roman" w:eastAsia="宋体" w:cs="Times New Roman"/>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银行ATM机故障案例</w:t>
      </w:r>
      <w:bookmarkEnd w:id="70"/>
      <w:bookmarkEnd w:id="71"/>
      <w:bookmarkEnd w:id="72"/>
    </w:p>
    <w:tbl>
      <w:tblPr>
        <w:tblStyle w:val="14"/>
        <w:tblW w:w="8356" w:type="dxa"/>
        <w:jc w:val="right"/>
        <w:tblInd w:w="9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4983"/>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right"/>
        </w:trPr>
        <w:tc>
          <w:tcPr>
            <w:tcW w:w="102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bCs w:val="0"/>
                <w:color w:val="auto"/>
                <w:sz w:val="21"/>
                <w:szCs w:val="21"/>
                <w:vertAlign w:val="baseline"/>
                <w:lang w:eastAsia="zh-CN"/>
              </w:rPr>
            </w:pPr>
            <w:r>
              <w:rPr>
                <w:rFonts w:hint="eastAsia" w:ascii="宋体" w:hAnsi="宋体" w:eastAsia="宋体" w:cs="宋体"/>
                <w:b w:val="0"/>
                <w:bCs w:val="0"/>
                <w:color w:val="auto"/>
                <w:sz w:val="21"/>
                <w:szCs w:val="21"/>
                <w:vertAlign w:val="baseline"/>
                <w:lang w:eastAsia="zh-CN"/>
              </w:rPr>
              <w:t>案例原因</w:t>
            </w:r>
          </w:p>
        </w:tc>
        <w:tc>
          <w:tcPr>
            <w:tcW w:w="498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宋体" w:hAnsi="宋体" w:eastAsia="宋体" w:cs="宋体"/>
                <w:color w:val="auto"/>
                <w:sz w:val="21"/>
                <w:szCs w:val="21"/>
              </w:rPr>
            </w:pPr>
            <w:r>
              <w:rPr>
                <w:rFonts w:hint="eastAsia" w:ascii="宋体" w:hAnsi="宋体" w:eastAsia="宋体" w:cs="宋体"/>
                <w:b w:val="0"/>
                <w:bCs w:val="0"/>
                <w:color w:val="auto"/>
                <w:sz w:val="21"/>
                <w:szCs w:val="21"/>
                <w:vertAlign w:val="baseline"/>
                <w:lang w:eastAsia="zh-CN"/>
              </w:rPr>
              <w:t>案例简单情况</w:t>
            </w:r>
          </w:p>
        </w:tc>
        <w:tc>
          <w:tcPr>
            <w:tcW w:w="2353"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宋体" w:hAnsi="宋体" w:eastAsia="宋体" w:cs="宋体"/>
                <w:b w:val="0"/>
                <w:bCs w:val="0"/>
                <w:color w:val="auto"/>
                <w:sz w:val="21"/>
                <w:szCs w:val="21"/>
                <w:vertAlign w:val="baseline"/>
                <w:lang w:eastAsia="zh-CN"/>
              </w:rPr>
            </w:pPr>
            <w:r>
              <w:rPr>
                <w:rFonts w:hint="eastAsia" w:ascii="宋体" w:hAnsi="宋体" w:eastAsia="宋体" w:cs="宋体"/>
                <w:b w:val="0"/>
                <w:bCs w:val="0"/>
                <w:color w:val="auto"/>
                <w:sz w:val="21"/>
                <w:szCs w:val="21"/>
                <w:vertAlign w:val="baseline"/>
                <w:lang w:eastAsia="zh-CN"/>
              </w:rPr>
              <w:t>信息来源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8" w:hRule="atLeast"/>
          <w:jc w:val="right"/>
        </w:trPr>
        <w:tc>
          <w:tcPr>
            <w:tcW w:w="102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val="0"/>
                <w:color w:val="auto"/>
                <w:sz w:val="21"/>
                <w:szCs w:val="21"/>
                <w:vertAlign w:val="baseline"/>
                <w:lang w:eastAsia="zh-CN"/>
              </w:rPr>
            </w:pPr>
            <w:r>
              <w:rPr>
                <w:rFonts w:hint="eastAsia" w:ascii="宋体" w:hAnsi="宋体" w:eastAsia="宋体" w:cs="宋体"/>
                <w:b w:val="0"/>
                <w:bCs w:val="0"/>
                <w:color w:val="auto"/>
                <w:sz w:val="21"/>
                <w:szCs w:val="21"/>
                <w:vertAlign w:val="baseline"/>
                <w:lang w:eastAsia="zh-CN"/>
              </w:rPr>
              <w:t>ATM机吐出“假币”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color w:val="auto"/>
                <w:sz w:val="21"/>
                <w:szCs w:val="21"/>
                <w:vertAlign w:val="baseline"/>
                <w:lang w:eastAsia="zh-CN"/>
              </w:rPr>
            </w:pPr>
          </w:p>
        </w:tc>
        <w:tc>
          <w:tcPr>
            <w:tcW w:w="4983" w:type="dxa"/>
            <w:vAlign w:val="top"/>
          </w:tcPr>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大庆市朱女士在某银行ATM机上取出18张面值100元人民币中有2张是假币。</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b w:val="0"/>
                <w:bCs w:val="0"/>
                <w:i w:val="0"/>
                <w:caps w:val="0"/>
                <w:color w:val="auto"/>
                <w:spacing w:val="0"/>
                <w:sz w:val="21"/>
                <w:szCs w:val="21"/>
                <w:shd w:val="clear" w:color="auto" w:fill="FFFFFF"/>
              </w:rPr>
              <w:t>据媒体报道，</w:t>
            </w:r>
            <w:r>
              <w:rPr>
                <w:rFonts w:hint="eastAsia" w:ascii="宋体" w:hAnsi="宋体" w:eastAsia="宋体" w:cs="宋体"/>
                <w:b w:val="0"/>
                <w:bCs w:val="0"/>
                <w:i w:val="0"/>
                <w:caps w:val="0"/>
                <w:color w:val="auto"/>
                <w:spacing w:val="0"/>
                <w:sz w:val="21"/>
                <w:szCs w:val="21"/>
                <w:shd w:val="clear" w:color="auto" w:fill="FFFFFF"/>
                <w:lang w:val="en-US" w:eastAsia="zh-CN"/>
              </w:rPr>
              <w:t>2011年10月至11月</w:t>
            </w:r>
            <w:r>
              <w:rPr>
                <w:rFonts w:hint="eastAsia" w:ascii="宋体" w:hAnsi="宋体" w:eastAsia="宋体" w:cs="宋体"/>
                <w:b w:val="0"/>
                <w:bCs w:val="0"/>
                <w:i w:val="0"/>
                <w:caps w:val="0"/>
                <w:color w:val="auto"/>
                <w:spacing w:val="0"/>
                <w:sz w:val="21"/>
                <w:szCs w:val="21"/>
                <w:shd w:val="clear" w:color="auto" w:fill="FFFFFF"/>
              </w:rPr>
              <w:t>在石家庄市邮政储蓄银行的5个网点(支行)已发现9起涉及百元假钞事件。</w:t>
            </w:r>
          </w:p>
        </w:tc>
        <w:tc>
          <w:tcPr>
            <w:tcW w:w="2353" w:type="dxa"/>
            <w:vAlign w:val="top"/>
          </w:tcPr>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《大庆日报》，2008年3月3日</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i w:val="0"/>
                <w:caps w:val="0"/>
                <w:color w:val="auto"/>
                <w:spacing w:val="0"/>
                <w:sz w:val="21"/>
                <w:szCs w:val="21"/>
                <w:shd w:val="clear" w:color="auto" w:fill="FFFFFF"/>
                <w:lang w:val="en-US" w:eastAsia="zh-CN"/>
              </w:rPr>
            </w:pPr>
            <w:r>
              <w:rPr>
                <w:rFonts w:hint="eastAsia" w:ascii="宋体" w:hAnsi="宋体" w:eastAsia="宋体" w:cs="宋体"/>
                <w:b w:val="0"/>
                <w:bCs w:val="0"/>
                <w:i w:val="0"/>
                <w:caps w:val="0"/>
                <w:color w:val="auto"/>
                <w:spacing w:val="0"/>
                <w:sz w:val="21"/>
                <w:szCs w:val="21"/>
                <w:shd w:val="clear" w:color="auto" w:fill="FFFFFF"/>
              </w:rPr>
              <w:t>2011年11月16日来源：</w:t>
            </w:r>
            <w:r>
              <w:rPr>
                <w:rFonts w:hint="eastAsia" w:ascii="宋体" w:hAnsi="宋体" w:eastAsia="宋体" w:cs="宋体"/>
                <w:b w:val="0"/>
                <w:bCs w:val="0"/>
                <w:i w:val="0"/>
                <w:caps w:val="0"/>
                <w:color w:val="auto"/>
                <w:spacing w:val="0"/>
                <w:sz w:val="21"/>
                <w:szCs w:val="21"/>
                <w:u w:val="none"/>
                <w:shd w:val="clear" w:color="auto" w:fill="FFFFFF"/>
              </w:rPr>
              <w:fldChar w:fldCharType="begin"/>
            </w:r>
            <w:r>
              <w:rPr>
                <w:rFonts w:hint="eastAsia" w:ascii="宋体" w:hAnsi="宋体" w:eastAsia="宋体" w:cs="宋体"/>
                <w:b w:val="0"/>
                <w:bCs w:val="0"/>
                <w:i w:val="0"/>
                <w:caps w:val="0"/>
                <w:color w:val="auto"/>
                <w:spacing w:val="0"/>
                <w:sz w:val="21"/>
                <w:szCs w:val="21"/>
                <w:u w:val="none"/>
                <w:shd w:val="clear" w:color="auto" w:fill="FFFFFF"/>
              </w:rPr>
              <w:instrText xml:space="preserve"> HYPERLINK "http://finance.nfdaily.cn/content/2011-11/16/content_33276274.htm" \t "http://finance.ifeng.com/bank/yhpl/20111116/_blank" </w:instrText>
            </w:r>
            <w:r>
              <w:rPr>
                <w:rFonts w:hint="eastAsia" w:ascii="宋体" w:hAnsi="宋体" w:eastAsia="宋体" w:cs="宋体"/>
                <w:b w:val="0"/>
                <w:bCs w:val="0"/>
                <w:i w:val="0"/>
                <w:caps w:val="0"/>
                <w:color w:val="auto"/>
                <w:spacing w:val="0"/>
                <w:sz w:val="21"/>
                <w:szCs w:val="21"/>
                <w:u w:val="none"/>
                <w:shd w:val="clear" w:color="auto" w:fill="FFFFFF"/>
              </w:rPr>
              <w:fldChar w:fldCharType="separate"/>
            </w:r>
            <w:r>
              <w:rPr>
                <w:rStyle w:val="11"/>
                <w:rFonts w:hint="eastAsia" w:ascii="宋体" w:hAnsi="宋体" w:eastAsia="宋体" w:cs="宋体"/>
                <w:b w:val="0"/>
                <w:bCs w:val="0"/>
                <w:i w:val="0"/>
                <w:caps w:val="0"/>
                <w:color w:val="auto"/>
                <w:spacing w:val="0"/>
                <w:sz w:val="21"/>
                <w:szCs w:val="21"/>
                <w:u w:val="none"/>
                <w:shd w:val="clear" w:color="auto" w:fill="FFFFFF"/>
              </w:rPr>
              <w:t>南方报网</w:t>
            </w:r>
            <w:r>
              <w:rPr>
                <w:rFonts w:hint="eastAsia" w:ascii="宋体" w:hAnsi="宋体" w:eastAsia="宋体" w:cs="宋体"/>
                <w:b w:val="0"/>
                <w:bCs w:val="0"/>
                <w:i w:val="0"/>
                <w:caps w:val="0"/>
                <w:color w:val="auto"/>
                <w:spacing w:val="0"/>
                <w:sz w:val="21"/>
                <w:szCs w:val="21"/>
                <w:u w:val="none"/>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26" w:hRule="atLeast"/>
          <w:jc w:val="right"/>
        </w:trPr>
        <w:tc>
          <w:tcPr>
            <w:tcW w:w="102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 xml:space="preserve">   </w:t>
            </w:r>
            <w:r>
              <w:rPr>
                <w:rFonts w:hint="eastAsia" w:ascii="宋体" w:hAnsi="宋体" w:eastAsia="宋体" w:cs="宋体"/>
                <w:b w:val="0"/>
                <w:bCs w:val="0"/>
                <w:color w:val="auto"/>
                <w:sz w:val="21"/>
                <w:szCs w:val="21"/>
                <w:vertAlign w:val="baseline"/>
                <w:lang w:eastAsia="zh-CN"/>
              </w:rPr>
              <w:t>系统故障造成的</w:t>
            </w:r>
            <w:r>
              <w:rPr>
                <w:rFonts w:hint="eastAsia" w:ascii="宋体" w:hAnsi="宋体" w:eastAsia="宋体" w:cs="宋体"/>
                <w:b w:val="0"/>
                <w:bCs w:val="0"/>
                <w:color w:val="auto"/>
                <w:sz w:val="21"/>
                <w:szCs w:val="21"/>
                <w:vertAlign w:val="baseline"/>
                <w:lang w:val="en-US" w:eastAsia="zh-CN"/>
              </w:rPr>
              <w:t>ATM机“吞钱”“吞卡”</w:t>
            </w:r>
          </w:p>
        </w:tc>
        <w:tc>
          <w:tcPr>
            <w:tcW w:w="4983" w:type="dxa"/>
            <w:vAlign w:val="top"/>
          </w:tcPr>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i w:val="0"/>
                <w:caps w:val="0"/>
                <w:color w:val="auto"/>
                <w:spacing w:val="0"/>
                <w:sz w:val="21"/>
                <w:szCs w:val="21"/>
                <w:shd w:val="clear" w:color="auto" w:fill="FFFFFF"/>
                <w:lang w:eastAsia="zh-CN"/>
              </w:rPr>
            </w:pPr>
            <w:r>
              <w:rPr>
                <w:rFonts w:hint="eastAsia" w:ascii="宋体" w:hAnsi="宋体" w:eastAsia="宋体" w:cs="宋体"/>
                <w:b w:val="0"/>
                <w:bCs w:val="0"/>
                <w:i w:val="0"/>
                <w:caps w:val="0"/>
                <w:color w:val="auto"/>
                <w:spacing w:val="0"/>
                <w:sz w:val="21"/>
                <w:szCs w:val="21"/>
                <w:shd w:val="clear" w:color="auto" w:fill="FFFFFF"/>
                <w:lang w:eastAsia="zh-CN"/>
              </w:rPr>
              <w:t>福州一市民王女士给记者打来电话称，自己遭遇了莫名其妙的</w:t>
            </w:r>
            <w:r>
              <w:rPr>
                <w:rFonts w:hint="eastAsia" w:ascii="宋体" w:hAnsi="宋体" w:eastAsia="宋体" w:cs="宋体"/>
                <w:b w:val="0"/>
                <w:bCs w:val="0"/>
                <w:i w:val="0"/>
                <w:caps w:val="0"/>
                <w:color w:val="auto"/>
                <w:spacing w:val="0"/>
                <w:sz w:val="21"/>
                <w:szCs w:val="21"/>
                <w:shd w:val="clear" w:color="auto" w:fill="FFFFFF"/>
                <w:lang w:val="en-US" w:eastAsia="zh-CN"/>
              </w:rPr>
              <w:t>ATM机</w:t>
            </w:r>
            <w:r>
              <w:rPr>
                <w:rFonts w:hint="eastAsia" w:ascii="宋体" w:hAnsi="宋体" w:eastAsia="宋体" w:cs="宋体"/>
                <w:b w:val="0"/>
                <w:bCs w:val="0"/>
                <w:i w:val="0"/>
                <w:caps w:val="0"/>
                <w:color w:val="auto"/>
                <w:spacing w:val="0"/>
                <w:sz w:val="21"/>
                <w:szCs w:val="21"/>
                <w:shd w:val="clear" w:color="auto" w:fill="FFFFFF"/>
                <w:lang w:eastAsia="zh-CN"/>
              </w:rPr>
              <w:t>“吞钱”事件，地点是民生银行自助服务网点的ＡＴＭ机器。王女士称，存钱时数额不大，仅仅一百元，但在随后发生的一系列追讨说法的过程中却屡遭搪塞，备感抑郁。</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i w:val="0"/>
                <w:caps w:val="0"/>
                <w:color w:val="auto"/>
                <w:spacing w:val="0"/>
                <w:sz w:val="21"/>
                <w:szCs w:val="21"/>
                <w:shd w:val="clear" w:color="auto" w:fill="FFFFFF"/>
              </w:rPr>
            </w:pPr>
            <w:r>
              <w:rPr>
                <w:rFonts w:hint="eastAsia" w:ascii="宋体" w:hAnsi="宋体" w:eastAsia="宋体" w:cs="宋体"/>
                <w:b w:val="0"/>
                <w:bCs w:val="0"/>
                <w:i w:val="0"/>
                <w:caps w:val="0"/>
                <w:color w:val="auto"/>
                <w:spacing w:val="0"/>
                <w:sz w:val="21"/>
                <w:szCs w:val="21"/>
                <w:shd w:val="clear" w:color="auto" w:fill="FFFFFF"/>
              </w:rPr>
              <w:t>南京市民丁先生存款时被ATM机吞去一万元，他</w:t>
            </w:r>
            <w:r>
              <w:rPr>
                <w:rFonts w:hint="eastAsia" w:ascii="宋体" w:hAnsi="宋体" w:eastAsia="宋体" w:cs="宋体"/>
                <w:b w:val="0"/>
                <w:bCs w:val="0"/>
                <w:i w:val="0"/>
                <w:caps w:val="0"/>
                <w:color w:val="auto"/>
                <w:spacing w:val="0"/>
                <w:sz w:val="21"/>
                <w:szCs w:val="21"/>
                <w:shd w:val="clear" w:color="auto" w:fill="FFFFFF"/>
                <w:lang w:eastAsia="zh-CN"/>
              </w:rPr>
              <w:t>立即</w:t>
            </w:r>
            <w:r>
              <w:rPr>
                <w:rFonts w:hint="eastAsia" w:ascii="宋体" w:hAnsi="宋体" w:eastAsia="宋体" w:cs="宋体"/>
                <w:b w:val="0"/>
                <w:bCs w:val="0"/>
                <w:i w:val="0"/>
                <w:caps w:val="0"/>
                <w:color w:val="auto"/>
                <w:spacing w:val="0"/>
                <w:sz w:val="21"/>
                <w:szCs w:val="21"/>
                <w:shd w:val="clear" w:color="auto" w:fill="FFFFFF"/>
              </w:rPr>
              <w:t>联系银行工作人员</w:t>
            </w:r>
            <w:r>
              <w:rPr>
                <w:rFonts w:hint="eastAsia" w:ascii="宋体" w:hAnsi="宋体" w:eastAsia="宋体" w:cs="宋体"/>
                <w:b w:val="0"/>
                <w:bCs w:val="0"/>
                <w:i w:val="0"/>
                <w:caps w:val="0"/>
                <w:color w:val="auto"/>
                <w:spacing w:val="0"/>
                <w:sz w:val="21"/>
                <w:szCs w:val="21"/>
                <w:shd w:val="clear" w:color="auto" w:fill="FFFFFF"/>
                <w:lang w:eastAsia="zh-CN"/>
              </w:rPr>
              <w:t>，但</w:t>
            </w:r>
            <w:r>
              <w:rPr>
                <w:rFonts w:hint="eastAsia" w:ascii="宋体" w:hAnsi="宋体" w:eastAsia="宋体" w:cs="宋体"/>
                <w:b w:val="0"/>
                <w:bCs w:val="0"/>
                <w:i w:val="0"/>
                <w:caps w:val="0"/>
                <w:color w:val="auto"/>
                <w:spacing w:val="0"/>
                <w:sz w:val="21"/>
                <w:szCs w:val="21"/>
                <w:shd w:val="clear" w:color="auto" w:fill="FFFFFF"/>
              </w:rPr>
              <w:t>被告之要等两个工作日才能处理。随后，丁先生换电话致电客服，假称机器多吐三千元，</w:t>
            </w:r>
            <w:r>
              <w:rPr>
                <w:rFonts w:hint="eastAsia" w:ascii="宋体" w:hAnsi="宋体" w:eastAsia="宋体" w:cs="宋体"/>
                <w:b w:val="0"/>
                <w:bCs w:val="0"/>
                <w:i w:val="0"/>
                <w:caps w:val="0"/>
                <w:color w:val="auto"/>
                <w:spacing w:val="0"/>
                <w:sz w:val="21"/>
                <w:szCs w:val="21"/>
                <w:shd w:val="clear" w:color="auto" w:fill="FFFFFF"/>
                <w:lang w:eastAsia="zh-CN"/>
              </w:rPr>
              <w:t>喜剧的一幕发生了，</w:t>
            </w:r>
            <w:r>
              <w:rPr>
                <w:rFonts w:hint="eastAsia" w:ascii="宋体" w:hAnsi="宋体" w:eastAsia="宋体" w:cs="宋体"/>
                <w:b w:val="0"/>
                <w:bCs w:val="0"/>
                <w:i w:val="0"/>
                <w:caps w:val="0"/>
                <w:color w:val="auto"/>
                <w:spacing w:val="0"/>
                <w:sz w:val="21"/>
                <w:szCs w:val="21"/>
                <w:shd w:val="clear" w:color="auto" w:fill="FFFFFF"/>
              </w:rPr>
              <w:t>5分钟后客服便赶到。银行解释称，吞了客户的钱，这钱在机器里还是安全的，但机器多吐了钱，就会影响现金安全。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color w:val="auto"/>
                <w:sz w:val="21"/>
                <w:szCs w:val="21"/>
              </w:rPr>
            </w:pPr>
          </w:p>
        </w:tc>
        <w:tc>
          <w:tcPr>
            <w:tcW w:w="2353" w:type="dxa"/>
            <w:vAlign w:val="top"/>
          </w:tcPr>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Style w:val="11"/>
                <w:rFonts w:hint="eastAsia" w:ascii="宋体" w:hAnsi="宋体" w:eastAsia="宋体" w:cs="宋体"/>
                <w:b w:val="0"/>
                <w:bCs w:val="0"/>
                <w:i w:val="0"/>
                <w:caps w:val="0"/>
                <w:color w:val="auto"/>
                <w:spacing w:val="0"/>
                <w:sz w:val="21"/>
                <w:szCs w:val="21"/>
                <w:u w:val="none"/>
                <w:shd w:val="clear" w:color="auto" w:fill="FFFFFF"/>
                <w:lang w:val="en-US" w:eastAsia="zh-CN"/>
              </w:rPr>
            </w:pPr>
            <w:r>
              <w:rPr>
                <w:rStyle w:val="11"/>
                <w:rFonts w:hint="eastAsia" w:ascii="宋体" w:hAnsi="宋体" w:eastAsia="宋体" w:cs="宋体"/>
                <w:b w:val="0"/>
                <w:bCs w:val="0"/>
                <w:i w:val="0"/>
                <w:caps w:val="0"/>
                <w:color w:val="auto"/>
                <w:spacing w:val="0"/>
                <w:sz w:val="21"/>
                <w:szCs w:val="21"/>
                <w:u w:val="none"/>
                <w:shd w:val="clear" w:color="auto" w:fill="FFFFFF"/>
                <w:lang w:val="en-US" w:eastAsia="zh-CN"/>
              </w:rPr>
              <w:t>2009-02-18</w:t>
            </w:r>
            <w:r>
              <w:rPr>
                <w:rStyle w:val="11"/>
                <w:rFonts w:hint="eastAsia" w:ascii="宋体" w:hAnsi="宋体" w:eastAsia="宋体" w:cs="宋体"/>
                <w:b w:val="0"/>
                <w:bCs w:val="0"/>
                <w:i w:val="0"/>
                <w:caps w:val="0"/>
                <w:color w:val="auto"/>
                <w:spacing w:val="0"/>
                <w:sz w:val="21"/>
                <w:szCs w:val="21"/>
                <w:u w:val="none"/>
                <w:shd w:val="clear" w:color="auto" w:fill="FFFFFF"/>
              </w:rPr>
              <w:t>福州新闻网</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i w:val="0"/>
                <w:caps w:val="0"/>
                <w:color w:val="auto"/>
                <w:spacing w:val="0"/>
                <w:sz w:val="21"/>
                <w:szCs w:val="21"/>
                <w:shd w:val="clear" w:color="auto" w:fill="FFFFFF"/>
              </w:rPr>
            </w:pPr>
            <w:r>
              <w:rPr>
                <w:rFonts w:hint="eastAsia" w:ascii="宋体" w:hAnsi="宋体" w:eastAsia="宋体" w:cs="宋体"/>
                <w:b w:val="0"/>
                <w:bCs w:val="0"/>
                <w:i w:val="0"/>
                <w:caps w:val="0"/>
                <w:color w:val="auto"/>
                <w:spacing w:val="0"/>
                <w:sz w:val="21"/>
                <w:szCs w:val="21"/>
                <w:shd w:val="clear" w:color="auto" w:fill="FFFFFF"/>
              </w:rPr>
              <w:t>2012-09-0来源: </w:t>
            </w:r>
            <w:r>
              <w:rPr>
                <w:rFonts w:hint="eastAsia" w:ascii="宋体" w:hAnsi="宋体" w:eastAsia="宋体" w:cs="宋体"/>
                <w:b w:val="0"/>
                <w:bCs w:val="0"/>
                <w:i w:val="0"/>
                <w:caps w:val="0"/>
                <w:color w:val="auto"/>
                <w:spacing w:val="0"/>
                <w:sz w:val="21"/>
                <w:szCs w:val="21"/>
                <w:u w:val="none"/>
                <w:shd w:val="clear" w:color="auto" w:fill="FFFFFF"/>
              </w:rPr>
              <w:fldChar w:fldCharType="begin"/>
            </w:r>
            <w:r>
              <w:rPr>
                <w:rFonts w:hint="eastAsia" w:ascii="宋体" w:hAnsi="宋体" w:eastAsia="宋体" w:cs="宋体"/>
                <w:b w:val="0"/>
                <w:bCs w:val="0"/>
                <w:i w:val="0"/>
                <w:caps w:val="0"/>
                <w:color w:val="auto"/>
                <w:spacing w:val="0"/>
                <w:sz w:val="21"/>
                <w:szCs w:val="21"/>
                <w:u w:val="none"/>
                <w:shd w:val="clear" w:color="auto" w:fill="FFFFFF"/>
              </w:rPr>
              <w:instrText xml:space="preserve"> HYPERLINK "http://www.yzwb.net/epaper/html/2012-09/09/content_481652.htm?div=-1" \t "http://news.163.com/12/0909/02/_blank" </w:instrText>
            </w:r>
            <w:r>
              <w:rPr>
                <w:rFonts w:hint="eastAsia" w:ascii="宋体" w:hAnsi="宋体" w:eastAsia="宋体" w:cs="宋体"/>
                <w:b w:val="0"/>
                <w:bCs w:val="0"/>
                <w:i w:val="0"/>
                <w:caps w:val="0"/>
                <w:color w:val="auto"/>
                <w:spacing w:val="0"/>
                <w:sz w:val="21"/>
                <w:szCs w:val="21"/>
                <w:u w:val="none"/>
                <w:shd w:val="clear" w:color="auto" w:fill="FFFFFF"/>
              </w:rPr>
              <w:fldChar w:fldCharType="separate"/>
            </w:r>
            <w:r>
              <w:rPr>
                <w:rStyle w:val="11"/>
                <w:rFonts w:hint="eastAsia" w:ascii="宋体" w:hAnsi="宋体" w:eastAsia="宋体" w:cs="宋体"/>
                <w:b w:val="0"/>
                <w:bCs w:val="0"/>
                <w:i w:val="0"/>
                <w:caps w:val="0"/>
                <w:color w:val="auto"/>
                <w:spacing w:val="0"/>
                <w:sz w:val="21"/>
                <w:szCs w:val="21"/>
                <w:u w:val="none"/>
                <w:shd w:val="clear" w:color="auto" w:fill="FFFFFF"/>
              </w:rPr>
              <w:t>扬子晚报</w:t>
            </w:r>
            <w:r>
              <w:rPr>
                <w:rFonts w:hint="eastAsia" w:ascii="宋体" w:hAnsi="宋体" w:eastAsia="宋体" w:cs="宋体"/>
                <w:b w:val="0"/>
                <w:bCs w:val="0"/>
                <w:i w:val="0"/>
                <w:caps w:val="0"/>
                <w:color w:val="auto"/>
                <w:spacing w:val="0"/>
                <w:sz w:val="21"/>
                <w:szCs w:val="21"/>
                <w:u w:val="none"/>
                <w:shd w:val="clear" w:color="auto" w:fill="FFFFFF"/>
              </w:rPr>
              <w:fldChar w:fldCharType="end"/>
            </w:r>
            <w:r>
              <w:rPr>
                <w:rFonts w:hint="eastAsia" w:ascii="宋体" w:hAnsi="宋体" w:eastAsia="宋体" w:cs="宋体"/>
                <w:b w:val="0"/>
                <w:bCs w:val="0"/>
                <w:i w:val="0"/>
                <w:caps w:val="0"/>
                <w:color w:val="auto"/>
                <w:spacing w:val="0"/>
                <w:sz w:val="21"/>
                <w:szCs w:val="21"/>
                <w:shd w:val="clear" w:color="auto" w:fill="FFFFFF"/>
              </w:rPr>
              <w:t>(南京)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28" w:hRule="atLeast"/>
          <w:jc w:val="right"/>
        </w:trPr>
        <w:tc>
          <w:tcPr>
            <w:tcW w:w="1020" w:type="dxa"/>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bCs w:val="0"/>
                <w:color w:val="auto"/>
                <w:sz w:val="21"/>
                <w:szCs w:val="21"/>
                <w:vertAlign w:val="baseline"/>
                <w:lang w:eastAsia="zh-CN"/>
              </w:rPr>
            </w:pPr>
            <w:r>
              <w:rPr>
                <w:rFonts w:hint="eastAsia" w:ascii="宋体" w:hAnsi="宋体" w:eastAsia="宋体" w:cs="宋体"/>
                <w:b w:val="0"/>
                <w:bCs w:val="0"/>
                <w:color w:val="auto"/>
                <w:sz w:val="21"/>
                <w:szCs w:val="21"/>
                <w:vertAlign w:val="baseline"/>
                <w:lang w:val="en-US" w:eastAsia="zh-CN"/>
              </w:rPr>
              <w:t xml:space="preserve">    ATM机系统故障情况下造成的恶意取款</w:t>
            </w:r>
          </w:p>
        </w:tc>
        <w:tc>
          <w:tcPr>
            <w:tcW w:w="4983" w:type="dxa"/>
            <w:vAlign w:val="top"/>
          </w:tcPr>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color w:val="auto"/>
                <w:sz w:val="21"/>
                <w:szCs w:val="21"/>
                <w:vertAlign w:val="baseline"/>
                <w:lang w:eastAsia="zh-CN"/>
              </w:rPr>
            </w:pPr>
            <w:r>
              <w:rPr>
                <w:rFonts w:hint="eastAsia" w:ascii="宋体" w:hAnsi="宋体" w:eastAsia="宋体" w:cs="宋体"/>
                <w:b w:val="0"/>
                <w:bCs w:val="0"/>
                <w:color w:val="auto"/>
                <w:sz w:val="21"/>
                <w:szCs w:val="21"/>
                <w:vertAlign w:val="baseline"/>
                <w:lang w:eastAsia="zh-CN"/>
              </w:rPr>
              <w:t>“许霆案”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color w:val="auto"/>
                <w:sz w:val="21"/>
                <w:szCs w:val="21"/>
                <w:vertAlign w:val="baseline"/>
                <w:lang w:eastAsia="zh-CN"/>
              </w:rPr>
            </w:pPr>
            <w:r>
              <w:rPr>
                <w:rFonts w:hint="eastAsia" w:ascii="宋体" w:hAnsi="宋体" w:eastAsia="宋体" w:cs="宋体"/>
                <w:b w:val="0"/>
                <w:bCs w:val="0"/>
                <w:color w:val="auto"/>
                <w:sz w:val="21"/>
                <w:szCs w:val="21"/>
                <w:vertAlign w:val="baseline"/>
                <w:lang w:val="en-US" w:eastAsia="zh-CN"/>
              </w:rPr>
              <w:t>2.</w:t>
            </w:r>
            <w:r>
              <w:rPr>
                <w:rFonts w:hint="eastAsia" w:ascii="宋体" w:hAnsi="宋体" w:eastAsia="宋体" w:cs="宋体"/>
                <w:b w:val="0"/>
                <w:bCs w:val="0"/>
                <w:color w:val="auto"/>
                <w:sz w:val="21"/>
                <w:szCs w:val="21"/>
                <w:vertAlign w:val="baseline"/>
                <w:lang w:eastAsia="zh-CN"/>
              </w:rPr>
              <w:t>汇丰银行在英国汉普郡的一台ATM发生故障，在客户取款时会吐双倍现金，很多人听到这个消息后赶到此</w:t>
            </w:r>
            <w:r>
              <w:rPr>
                <w:rFonts w:hint="eastAsia" w:ascii="宋体" w:hAnsi="宋体" w:eastAsia="宋体" w:cs="宋体"/>
                <w:b w:val="0"/>
                <w:bCs w:val="0"/>
                <w:color w:val="auto"/>
                <w:sz w:val="21"/>
                <w:szCs w:val="21"/>
                <w:vertAlign w:val="baseline"/>
                <w:lang w:val="en-US" w:eastAsia="zh-CN"/>
              </w:rPr>
              <w:t>ATM机处取款</w:t>
            </w:r>
            <w:r>
              <w:rPr>
                <w:rFonts w:hint="eastAsia" w:ascii="宋体" w:hAnsi="宋体" w:eastAsia="宋体" w:cs="宋体"/>
                <w:b w:val="0"/>
                <w:bCs w:val="0"/>
                <w:color w:val="auto"/>
                <w:sz w:val="21"/>
                <w:szCs w:val="21"/>
                <w:vertAlign w:val="baseline"/>
                <w:lang w:eastAsia="zh-CN"/>
              </w:rPr>
              <w:t>。汇丰银行表示错在自己，顾客无需退还。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color w:val="auto"/>
                <w:sz w:val="21"/>
                <w:szCs w:val="21"/>
              </w:rPr>
            </w:pPr>
          </w:p>
        </w:tc>
        <w:tc>
          <w:tcPr>
            <w:tcW w:w="2353" w:type="dxa"/>
            <w:vAlign w:val="top"/>
          </w:tcPr>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发生于2006年的案件</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color w:val="auto"/>
                <w:sz w:val="21"/>
                <w:szCs w:val="21"/>
                <w:vertAlign w:val="baseline"/>
                <w:lang w:eastAsia="zh-CN"/>
              </w:rPr>
            </w:pPr>
            <w:r>
              <w:rPr>
                <w:rFonts w:hint="eastAsia" w:ascii="宋体" w:hAnsi="宋体" w:eastAsia="宋体" w:cs="宋体"/>
                <w:b w:val="0"/>
                <w:bCs w:val="0"/>
                <w:color w:val="auto"/>
                <w:sz w:val="21"/>
                <w:szCs w:val="21"/>
                <w:vertAlign w:val="baseline"/>
                <w:lang w:val="en-US" w:eastAsia="zh-CN"/>
              </w:rPr>
              <w:t>网易新闻</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color w:val="auto"/>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从上述案例中可以看出由于 ATM 机故障所导致的问题，一般有如下几个方面：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1、资金损失（可能是银行资金损失，也可能是客户资金损失）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lang w:eastAsia="zh-CN"/>
        </w:rPr>
        <w:t>2、引发犯罪(盗窃罪等等）</w:t>
      </w:r>
      <w:bookmarkStart w:id="73" w:name="_Toc32192"/>
      <w:bookmarkStart w:id="74" w:name="_Toc15582"/>
      <w:bookmarkStart w:id="75" w:name="_Toc15697"/>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宋体" w:hAnsi="宋体" w:eastAsia="宋体" w:cs="宋体"/>
          <w:b w:val="0"/>
          <w:bCs w:val="0"/>
          <w:color w:val="auto"/>
          <w:sz w:val="21"/>
          <w:szCs w:val="21"/>
          <w:lang w:val="en-US" w:eastAsia="zh-CN"/>
        </w:rPr>
      </w:pPr>
    </w:p>
    <w:p>
      <w:pPr>
        <w:keepNext w:val="0"/>
        <w:keepLines w:val="0"/>
        <w:pageBreakBefore w:val="0"/>
        <w:widowControl w:val="0"/>
        <w:numPr>
          <w:ilvl w:val="0"/>
          <w:numId w:val="0"/>
        </w:numPr>
        <w:tabs>
          <w:tab w:val="left" w:pos="374"/>
        </w:tabs>
        <w:kinsoku/>
        <w:wordWrap/>
        <w:overflowPunct/>
        <w:topLinePunct w:val="0"/>
        <w:autoSpaceDE/>
        <w:autoSpaceDN/>
        <w:bidi w:val="0"/>
        <w:adjustRightInd/>
        <w:snapToGrid/>
        <w:spacing w:line="240" w:lineRule="auto"/>
        <w:ind w:leftChars="200" w:right="0" w:rightChars="0"/>
        <w:jc w:val="center"/>
        <w:textAlignment w:val="auto"/>
        <w:outlineLvl w:val="0"/>
        <w:rPr>
          <w:rFonts w:hint="eastAsia" w:ascii="宋体" w:hAnsi="宋体" w:cs="宋体"/>
          <w:b w:val="0"/>
          <w:bCs w:val="0"/>
          <w:color w:val="auto"/>
          <w:sz w:val="21"/>
          <w:szCs w:val="21"/>
          <w:highlight w:val="none"/>
          <w:lang w:val="en-US" w:eastAsia="zh-CN"/>
        </w:rPr>
      </w:pPr>
      <w:r>
        <w:rPr>
          <w:rFonts w:hint="eastAsia" w:ascii="黑体" w:hAnsi="黑体" w:eastAsia="黑体" w:cs="黑体"/>
          <w:b/>
          <w:bCs/>
          <w:color w:val="auto"/>
          <w:sz w:val="28"/>
          <w:szCs w:val="28"/>
          <w:highlight w:val="none"/>
          <w:lang w:val="en-US" w:eastAsia="zh-CN"/>
        </w:rPr>
        <w:t>五、ATM机出现故障时</w:t>
      </w:r>
      <w:bookmarkEnd w:id="73"/>
      <w:bookmarkEnd w:id="74"/>
      <w:r>
        <w:rPr>
          <w:rFonts w:hint="eastAsia" w:ascii="黑体" w:hAnsi="黑体" w:eastAsia="黑体" w:cs="黑体"/>
          <w:b/>
          <w:bCs/>
          <w:color w:val="auto"/>
          <w:sz w:val="28"/>
          <w:szCs w:val="28"/>
          <w:highlight w:val="none"/>
          <w:lang w:val="en-US" w:eastAsia="zh-CN"/>
        </w:rPr>
        <w:t>法律关系的定性分析及责任认定</w:t>
      </w:r>
      <w:bookmarkEnd w:id="75"/>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前面</w:t>
      </w:r>
      <w:r>
        <w:rPr>
          <w:rFonts w:hint="eastAsia" w:ascii="宋体" w:hAnsi="宋体" w:eastAsia="宋体" w:cs="宋体"/>
          <w:b w:val="0"/>
          <w:bCs w:val="0"/>
          <w:color w:val="auto"/>
          <w:sz w:val="21"/>
          <w:szCs w:val="21"/>
          <w:highlight w:val="none"/>
          <w:lang w:val="en-US" w:eastAsia="zh-CN"/>
        </w:rPr>
        <w:t>章节中我们</w:t>
      </w:r>
      <w:r>
        <w:rPr>
          <w:rFonts w:hint="eastAsia" w:ascii="宋体" w:hAnsi="宋体" w:cs="宋体"/>
          <w:b w:val="0"/>
          <w:bCs w:val="0"/>
          <w:color w:val="auto"/>
          <w:sz w:val="21"/>
          <w:szCs w:val="21"/>
          <w:highlight w:val="none"/>
          <w:lang w:val="en-US" w:eastAsia="zh-CN"/>
        </w:rPr>
        <w:t>用案例说明了</w:t>
      </w:r>
      <w:r>
        <w:rPr>
          <w:rFonts w:hint="eastAsia" w:ascii="宋体" w:hAnsi="宋体" w:eastAsia="宋体" w:cs="宋体"/>
          <w:b w:val="0"/>
          <w:bCs w:val="0"/>
          <w:color w:val="auto"/>
          <w:sz w:val="21"/>
          <w:szCs w:val="21"/>
          <w:highlight w:val="none"/>
          <w:lang w:val="en-US" w:eastAsia="zh-CN"/>
        </w:rPr>
        <w:t>ATM机故障所导致的问题</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（1）资金</w:t>
      </w:r>
      <w:r>
        <w:rPr>
          <w:rFonts w:hint="eastAsia" w:ascii="宋体" w:hAnsi="宋体" w:cs="宋体"/>
          <w:b w:val="0"/>
          <w:bCs w:val="0"/>
          <w:color w:val="auto"/>
          <w:sz w:val="21"/>
          <w:szCs w:val="21"/>
          <w:highlight w:val="none"/>
          <w:lang w:val="en-US" w:eastAsia="zh-CN"/>
        </w:rPr>
        <w:t>的</w:t>
      </w:r>
      <w:r>
        <w:rPr>
          <w:rFonts w:hint="eastAsia" w:ascii="宋体" w:hAnsi="宋体" w:eastAsia="宋体" w:cs="宋体"/>
          <w:b w:val="0"/>
          <w:bCs w:val="0"/>
          <w:color w:val="auto"/>
          <w:sz w:val="21"/>
          <w:szCs w:val="21"/>
          <w:highlight w:val="none"/>
          <w:lang w:val="en-US" w:eastAsia="zh-CN"/>
        </w:rPr>
        <w:t>损失（可能是</w:t>
      </w:r>
      <w:r>
        <w:rPr>
          <w:rFonts w:hint="eastAsia" w:ascii="宋体" w:hAnsi="宋体" w:cs="宋体"/>
          <w:b w:val="0"/>
          <w:bCs w:val="0"/>
          <w:color w:val="auto"/>
          <w:sz w:val="21"/>
          <w:szCs w:val="21"/>
          <w:highlight w:val="none"/>
          <w:lang w:val="en-US" w:eastAsia="zh-CN"/>
        </w:rPr>
        <w:t>客户</w:t>
      </w:r>
      <w:r>
        <w:rPr>
          <w:rFonts w:hint="eastAsia" w:ascii="宋体" w:hAnsi="宋体" w:eastAsia="宋体" w:cs="宋体"/>
          <w:b w:val="0"/>
          <w:bCs w:val="0"/>
          <w:color w:val="auto"/>
          <w:sz w:val="21"/>
          <w:szCs w:val="21"/>
          <w:highlight w:val="none"/>
          <w:lang w:val="en-US" w:eastAsia="zh-CN"/>
        </w:rPr>
        <w:t>资金损失，也可能是</w:t>
      </w:r>
      <w:r>
        <w:rPr>
          <w:rFonts w:hint="eastAsia" w:ascii="宋体" w:hAnsi="宋体" w:cs="宋体"/>
          <w:b w:val="0"/>
          <w:bCs w:val="0"/>
          <w:color w:val="auto"/>
          <w:sz w:val="21"/>
          <w:szCs w:val="21"/>
          <w:highlight w:val="none"/>
          <w:lang w:val="en-US" w:eastAsia="zh-CN"/>
        </w:rPr>
        <w:t>银行</w:t>
      </w:r>
      <w:r>
        <w:rPr>
          <w:rFonts w:hint="eastAsia" w:ascii="宋体" w:hAnsi="宋体" w:eastAsia="宋体" w:cs="宋体"/>
          <w:b w:val="0"/>
          <w:bCs w:val="0"/>
          <w:color w:val="auto"/>
          <w:sz w:val="21"/>
          <w:szCs w:val="21"/>
          <w:highlight w:val="none"/>
          <w:lang w:val="en-US" w:eastAsia="zh-CN"/>
        </w:rPr>
        <w:t>资金损失）（2）引发犯罪(盗窃罪等等)，在这些问题中银行和客户</w:t>
      </w:r>
      <w:r>
        <w:rPr>
          <w:rFonts w:hint="eastAsia" w:ascii="宋体" w:hAnsi="宋体" w:cs="宋体"/>
          <w:b w:val="0"/>
          <w:bCs w:val="0"/>
          <w:color w:val="auto"/>
          <w:sz w:val="21"/>
          <w:szCs w:val="21"/>
          <w:highlight w:val="none"/>
          <w:lang w:val="en-US" w:eastAsia="zh-CN"/>
        </w:rPr>
        <w:t>的法律关系有何变化，其各自</w:t>
      </w:r>
      <w:r>
        <w:rPr>
          <w:rFonts w:hint="eastAsia" w:ascii="宋体" w:hAnsi="宋体" w:eastAsia="宋体" w:cs="宋体"/>
          <w:b w:val="0"/>
          <w:bCs w:val="0"/>
          <w:color w:val="auto"/>
          <w:sz w:val="21"/>
          <w:szCs w:val="21"/>
          <w:highlight w:val="none"/>
          <w:lang w:val="en-US" w:eastAsia="zh-CN"/>
        </w:rPr>
        <w:t>应当承担什么样的法律责任呢？下面根据前述案例分别分析</w:t>
      </w:r>
      <w:r>
        <w:rPr>
          <w:rFonts w:hint="eastAsia" w:ascii="宋体" w:hAnsi="宋体" w:cs="宋体"/>
          <w:b w:val="0"/>
          <w:bCs w:val="0"/>
          <w:color w:val="auto"/>
          <w:sz w:val="21"/>
          <w:szCs w:val="21"/>
          <w:highlight w:val="none"/>
          <w:lang w:val="en-US" w:eastAsia="zh-CN"/>
        </w:rPr>
        <w:t>在ATM故障时</w:t>
      </w:r>
      <w:r>
        <w:rPr>
          <w:rFonts w:hint="eastAsia" w:ascii="宋体" w:hAnsi="宋体" w:eastAsia="宋体" w:cs="宋体"/>
          <w:b w:val="0"/>
          <w:bCs w:val="0"/>
          <w:color w:val="auto"/>
          <w:sz w:val="21"/>
          <w:szCs w:val="21"/>
          <w:highlight w:val="none"/>
          <w:lang w:val="en-US" w:eastAsia="zh-CN"/>
        </w:rPr>
        <w:t>银行与客户</w:t>
      </w:r>
      <w:r>
        <w:rPr>
          <w:rFonts w:hint="eastAsia" w:ascii="宋体" w:hAnsi="宋体" w:cs="宋体"/>
          <w:b w:val="0"/>
          <w:bCs w:val="0"/>
          <w:color w:val="auto"/>
          <w:sz w:val="21"/>
          <w:szCs w:val="21"/>
          <w:highlight w:val="none"/>
          <w:lang w:val="en-US" w:eastAsia="zh-CN"/>
        </w:rPr>
        <w:t>法律关系的变化以及银行与客户</w:t>
      </w:r>
      <w:r>
        <w:rPr>
          <w:rFonts w:hint="eastAsia" w:ascii="宋体" w:hAnsi="宋体" w:eastAsia="宋体" w:cs="宋体"/>
          <w:b w:val="0"/>
          <w:bCs w:val="0"/>
          <w:color w:val="auto"/>
          <w:sz w:val="21"/>
          <w:szCs w:val="21"/>
          <w:highlight w:val="none"/>
          <w:lang w:val="en-US" w:eastAsia="zh-CN"/>
        </w:rPr>
        <w:t>在ATM故障中的</w:t>
      </w:r>
      <w:r>
        <w:rPr>
          <w:rFonts w:hint="eastAsia" w:ascii="宋体" w:hAnsi="宋体" w:cs="宋体"/>
          <w:b w:val="0"/>
          <w:bCs w:val="0"/>
          <w:color w:val="auto"/>
          <w:sz w:val="21"/>
          <w:szCs w:val="21"/>
          <w:highlight w:val="none"/>
          <w:lang w:val="en-US" w:eastAsia="zh-CN"/>
        </w:rPr>
        <w:t>各自的</w:t>
      </w:r>
      <w:r>
        <w:rPr>
          <w:rFonts w:hint="eastAsia" w:ascii="宋体" w:hAnsi="宋体" w:eastAsia="宋体" w:cs="宋体"/>
          <w:b w:val="0"/>
          <w:bCs w:val="0"/>
          <w:color w:val="auto"/>
          <w:sz w:val="21"/>
          <w:szCs w:val="21"/>
          <w:highlight w:val="none"/>
          <w:lang w:val="en-US" w:eastAsia="zh-CN"/>
        </w:rPr>
        <w:t>法律责任。</w:t>
      </w: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1"/>
        <w:rPr>
          <w:rFonts w:hint="eastAsia" w:ascii="宋体" w:hAnsi="宋体" w:eastAsia="宋体" w:cs="宋体"/>
          <w:b/>
          <w:bCs/>
          <w:color w:val="auto"/>
          <w:sz w:val="24"/>
          <w:szCs w:val="24"/>
          <w:highlight w:val="none"/>
          <w:vertAlign w:val="baseline"/>
          <w:lang w:eastAsia="zh-CN"/>
        </w:rPr>
      </w:pPr>
      <w:bookmarkStart w:id="76" w:name="_Toc2499"/>
      <w:bookmarkStart w:id="77" w:name="_Toc31922"/>
      <w:r>
        <w:rPr>
          <w:rFonts w:hint="eastAsia" w:ascii="宋体" w:hAnsi="宋体" w:eastAsia="宋体" w:cs="宋体"/>
          <w:b/>
          <w:bCs/>
          <w:color w:val="auto"/>
          <w:sz w:val="24"/>
          <w:szCs w:val="24"/>
          <w:highlight w:val="none"/>
          <w:vertAlign w:val="baseline"/>
          <w:lang w:eastAsia="zh-CN"/>
        </w:rPr>
        <w:t>（一）ATM机“吐假币”</w:t>
      </w:r>
      <w:bookmarkEnd w:id="76"/>
      <w:r>
        <w:rPr>
          <w:rFonts w:hint="eastAsia" w:ascii="宋体" w:hAnsi="宋体" w:eastAsia="宋体" w:cs="宋体"/>
          <w:b/>
          <w:bCs/>
          <w:color w:val="auto"/>
          <w:sz w:val="24"/>
          <w:szCs w:val="24"/>
          <w:highlight w:val="none"/>
          <w:vertAlign w:val="baseline"/>
          <w:lang w:eastAsia="zh-CN"/>
        </w:rPr>
        <w:t>情况</w:t>
      </w:r>
      <w:bookmarkEnd w:id="77"/>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2"/>
        <w:rPr>
          <w:rFonts w:hint="eastAsia" w:ascii="宋体" w:hAnsi="宋体" w:eastAsia="宋体" w:cs="宋体"/>
          <w:b w:val="0"/>
          <w:bCs w:val="0"/>
          <w:color w:val="auto"/>
          <w:sz w:val="21"/>
          <w:szCs w:val="21"/>
          <w:highlight w:val="none"/>
          <w:vertAlign w:val="baseline"/>
          <w:lang w:eastAsia="zh-CN"/>
        </w:rPr>
      </w:pPr>
      <w:bookmarkStart w:id="78" w:name="_Toc25543"/>
      <w:r>
        <w:rPr>
          <w:rFonts w:hint="default" w:ascii="Times New Roman" w:hAnsi="Times New Roman" w:eastAsia="宋体" w:cs="Times New Roman"/>
          <w:b w:val="0"/>
          <w:bCs w:val="0"/>
          <w:color w:val="auto"/>
          <w:sz w:val="21"/>
          <w:szCs w:val="21"/>
          <w:highlight w:val="none"/>
          <w:vertAlign w:val="baseline"/>
          <w:lang w:val="en-US" w:eastAsia="zh-CN"/>
        </w:rPr>
        <w:t>1.</w:t>
      </w:r>
      <w:r>
        <w:rPr>
          <w:rFonts w:hint="eastAsia" w:ascii="Times New Roman" w:hAnsi="Times New Roman" w:eastAsia="宋体" w:cs="Times New Roman"/>
          <w:b w:val="0"/>
          <w:bCs w:val="0"/>
          <w:color w:val="auto"/>
          <w:sz w:val="21"/>
          <w:szCs w:val="21"/>
          <w:highlight w:val="none"/>
          <w:vertAlign w:val="baseline"/>
          <w:lang w:val="en-US" w:eastAsia="zh-CN"/>
        </w:rPr>
        <w:t xml:space="preserve"> </w:t>
      </w:r>
      <w:r>
        <w:rPr>
          <w:rFonts w:hint="eastAsia" w:ascii="宋体" w:hAnsi="宋体" w:eastAsia="宋体" w:cs="宋体"/>
          <w:b w:val="0"/>
          <w:bCs w:val="0"/>
          <w:color w:val="auto"/>
          <w:sz w:val="21"/>
          <w:szCs w:val="21"/>
          <w:highlight w:val="none"/>
          <w:vertAlign w:val="baseline"/>
          <w:lang w:eastAsia="zh-CN"/>
        </w:rPr>
        <w:t>ATM机“吐假币”银行与客户法律关系</w:t>
      </w:r>
      <w:bookmarkEnd w:id="78"/>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    在正常情况下，ATM机能够代表银行，且银行与客户的法律关系为债权债务关系，即银行与客户形成合同关系，当ATM机出现故障时，银行与客户仍就存在合同关系，不过因为故障的出现使当事人（银行或者客户）未能履行或不能全部履行义务。ATM机吐假币，法律主体仍就是银行和客户，受到经济损失一方是客户。</w:t>
      </w:r>
    </w:p>
    <w:p>
      <w:pPr>
        <w:keepNext w:val="0"/>
        <w:keepLines w:val="0"/>
        <w:pageBreakBefore w:val="0"/>
        <w:widowControl w:val="0"/>
        <w:numPr>
          <w:ilvl w:val="0"/>
          <w:numId w:val="0"/>
        </w:numPr>
        <w:tabs>
          <w:tab w:val="left" w:pos="248"/>
        </w:tabs>
        <w:kinsoku/>
        <w:wordWrap/>
        <w:overflowPunct/>
        <w:topLinePunct w:val="0"/>
        <w:autoSpaceDE/>
        <w:autoSpaceDN/>
        <w:bidi w:val="0"/>
        <w:adjustRightInd/>
        <w:snapToGrid/>
        <w:spacing w:line="288" w:lineRule="auto"/>
        <w:ind w:right="0" w:rightChars="0"/>
        <w:jc w:val="both"/>
        <w:textAlignment w:val="auto"/>
        <w:outlineLvl w:val="2"/>
        <w:rPr>
          <w:rFonts w:hint="eastAsia" w:ascii="宋体" w:hAnsi="宋体" w:eastAsia="宋体" w:cs="宋体"/>
          <w:b w:val="0"/>
          <w:bCs w:val="0"/>
          <w:color w:val="auto"/>
          <w:sz w:val="21"/>
          <w:szCs w:val="21"/>
          <w:highlight w:val="none"/>
          <w:vertAlign w:val="baseline"/>
          <w:lang w:val="en-US" w:eastAsia="zh-CN"/>
        </w:rPr>
      </w:pPr>
      <w:bookmarkStart w:id="79" w:name="_Toc17935"/>
      <w:r>
        <w:rPr>
          <w:rFonts w:hint="default" w:ascii="Times New Roman" w:hAnsi="Times New Roman" w:eastAsia="宋体" w:cs="Times New Roman"/>
          <w:b w:val="0"/>
          <w:bCs w:val="0"/>
          <w:color w:val="auto"/>
          <w:sz w:val="21"/>
          <w:szCs w:val="21"/>
          <w:highlight w:val="none"/>
          <w:vertAlign w:val="baseline"/>
          <w:lang w:val="en-US" w:eastAsia="zh-CN"/>
        </w:rPr>
        <w:t>2.</w:t>
      </w:r>
      <w:r>
        <w:rPr>
          <w:rFonts w:hint="eastAsia" w:ascii="宋体" w:hAnsi="宋体" w:eastAsia="宋体" w:cs="宋体"/>
          <w:b w:val="0"/>
          <w:bCs w:val="0"/>
          <w:color w:val="auto"/>
          <w:sz w:val="21"/>
          <w:szCs w:val="21"/>
          <w:highlight w:val="none"/>
          <w:vertAlign w:val="baseline"/>
          <w:lang w:val="en-US" w:eastAsia="zh-CN"/>
        </w:rPr>
        <w:t xml:space="preserve"> ATM机“吐假币”责任的认定</w:t>
      </w:r>
      <w:bookmarkEnd w:id="79"/>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jc w:val="both"/>
        <w:textAlignment w:val="auto"/>
        <w:outlineLvl w:val="2"/>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    “取假币”案件的核心是客户从 ATM机中取出假币的风险损失是由谁承担，银行，还是客户？所以我们需要分析银行与客户在合同中的责任义务。</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val="en-US" w:eastAsia="zh-CN"/>
        </w:rPr>
        <w:t>（1）客户的责任</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firstLine="42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在客户与银行形成合同关系之后，客户应依据合同法全面履行自己的义务。在ATM机交易中，银行需要客户承担的主要责任是，当ATM机出现故障时，客户应及时通知银行，防止其损失进一步扩大。</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firstLine="42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（2）银行的责任</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银行依据公平责任原则承担相应民事责任。对于只具有单一取款功能的ATM机来讲，有时会出现“吐假钞”的情况，这时的ATM机是按照既定程序正常工作的，很明显这相当程度上是由于银行工作人员的工作失误所造成的。然而，在中国现阶段的法律中并没有明确规定有关“取假币”案件适用过错责任，在实践中，银行要求取得超额付款的客户承担不当得利的返还责任，另一方面却无须对其工作失误给客户造成的经济损失承担任何责任，这是不合理也不公平的。ATM机吐出假币，造成客户的损失，使得客户无法从中取出真实和准确的货币数额，为此基于公平原则，银行应对其工作的疏忽承担给客户造成的全部损失。</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银行依据风险责任原则承担责任。在科技日新月异的今天，出现了可能是因为其他客户通过ATM机的存款功能存入假币的情况，而不是银行工作人员的失误存入假币。在此种情况下，银行还应为这种假币承担责任吗？本人认为，因为ATM机本质是代表银行行使权利，它所进行的一切活动都由银行承担责任，所以银行对其提供的服务瑕疵（可能不是银行失误造成的）也应承担相应的风险责任。</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jc w:val="both"/>
        <w:textAlignment w:val="auto"/>
        <w:outlineLvl w:val="1"/>
        <w:rPr>
          <w:rFonts w:hint="eastAsia" w:ascii="宋体" w:hAnsi="宋体" w:eastAsia="宋体" w:cs="宋体"/>
          <w:b/>
          <w:bCs/>
          <w:color w:val="auto"/>
          <w:sz w:val="24"/>
          <w:szCs w:val="24"/>
          <w:highlight w:val="none"/>
          <w:lang w:val="en-US" w:eastAsia="zh-CN"/>
        </w:rPr>
      </w:pPr>
      <w:bookmarkStart w:id="80" w:name="_Toc31795"/>
      <w:bookmarkStart w:id="81" w:name="_Toc782"/>
      <w:r>
        <w:rPr>
          <w:rFonts w:hint="eastAsia" w:ascii="宋体" w:hAnsi="宋体" w:eastAsia="宋体" w:cs="宋体"/>
          <w:b/>
          <w:bCs/>
          <w:color w:val="auto"/>
          <w:sz w:val="24"/>
          <w:szCs w:val="24"/>
          <w:highlight w:val="none"/>
          <w:vertAlign w:val="baseline"/>
          <w:lang w:val="en-US" w:eastAsia="zh-CN"/>
        </w:rPr>
        <w:t>（二）ATM机故障造成“吞钱”、“吞卡”</w:t>
      </w:r>
      <w:bookmarkEnd w:id="80"/>
      <w:r>
        <w:rPr>
          <w:rFonts w:hint="eastAsia" w:ascii="宋体" w:hAnsi="宋体" w:eastAsia="宋体" w:cs="宋体"/>
          <w:b/>
          <w:bCs/>
          <w:color w:val="auto"/>
          <w:sz w:val="24"/>
          <w:szCs w:val="24"/>
          <w:highlight w:val="none"/>
          <w:vertAlign w:val="baseline"/>
          <w:lang w:val="en-US" w:eastAsia="zh-CN"/>
        </w:rPr>
        <w:t>情况</w:t>
      </w:r>
      <w:bookmarkEnd w:id="81"/>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2"/>
        <w:rPr>
          <w:rFonts w:hint="eastAsia" w:ascii="宋体" w:hAnsi="宋体" w:eastAsia="宋体" w:cs="宋体"/>
          <w:b w:val="0"/>
          <w:bCs w:val="0"/>
          <w:color w:val="auto"/>
          <w:sz w:val="21"/>
          <w:szCs w:val="21"/>
          <w:highlight w:val="none"/>
          <w:vertAlign w:val="baseline"/>
          <w:lang w:val="en-US" w:eastAsia="zh-CN"/>
        </w:rPr>
      </w:pPr>
      <w:bookmarkStart w:id="82" w:name="_Toc24887"/>
      <w:r>
        <w:rPr>
          <w:rFonts w:hint="default" w:ascii="Times New Roman" w:hAnsi="Times New Roman" w:eastAsia="宋体" w:cs="Times New Roman"/>
          <w:b w:val="0"/>
          <w:bCs w:val="0"/>
          <w:color w:val="auto"/>
          <w:sz w:val="21"/>
          <w:szCs w:val="21"/>
          <w:highlight w:val="none"/>
          <w:vertAlign w:val="baseline"/>
          <w:lang w:val="en-US" w:eastAsia="zh-CN"/>
        </w:rPr>
        <w:t>1.</w:t>
      </w:r>
      <w:r>
        <w:rPr>
          <w:rFonts w:hint="eastAsia" w:ascii="Times New Roman" w:hAnsi="Times New Roman" w:eastAsia="宋体" w:cs="Times New Roman"/>
          <w:b w:val="0"/>
          <w:bCs w:val="0"/>
          <w:color w:val="auto"/>
          <w:sz w:val="21"/>
          <w:szCs w:val="21"/>
          <w:highlight w:val="none"/>
          <w:vertAlign w:val="baseline"/>
          <w:lang w:val="en-US" w:eastAsia="zh-CN"/>
        </w:rPr>
        <w:t xml:space="preserve"> </w:t>
      </w:r>
      <w:r>
        <w:rPr>
          <w:rFonts w:hint="eastAsia" w:ascii="宋体" w:hAnsi="宋体" w:eastAsia="宋体" w:cs="宋体"/>
          <w:b w:val="0"/>
          <w:bCs w:val="0"/>
          <w:color w:val="auto"/>
          <w:sz w:val="21"/>
          <w:szCs w:val="21"/>
          <w:highlight w:val="none"/>
          <w:vertAlign w:val="baseline"/>
          <w:lang w:val="en-US" w:eastAsia="zh-CN"/>
        </w:rPr>
        <w:t>ATM机故障造成“吞钱”、“吞卡”银行与客户法律关系</w:t>
      </w:r>
      <w:bookmarkEnd w:id="82"/>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ATM已对银行的服务进行了一场革命性的创新，但其并没有改变银行与客户的基本法律关系——债权债务关系。ATM机故障造成“吞卡”“吞钱”时，客户的利益遭受了损失。</w:t>
      </w: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2"/>
        <w:rPr>
          <w:rFonts w:hint="eastAsia" w:ascii="宋体" w:hAnsi="宋体" w:eastAsia="宋体" w:cs="宋体"/>
          <w:b w:val="0"/>
          <w:bCs w:val="0"/>
          <w:color w:val="auto"/>
          <w:sz w:val="21"/>
          <w:szCs w:val="21"/>
          <w:highlight w:val="none"/>
          <w:vertAlign w:val="baseline"/>
          <w:lang w:val="en-US" w:eastAsia="zh-CN"/>
        </w:rPr>
      </w:pPr>
      <w:bookmarkStart w:id="83" w:name="_Toc1336"/>
      <w:r>
        <w:rPr>
          <w:rFonts w:hint="default" w:ascii="Times New Roman" w:hAnsi="Times New Roman" w:eastAsia="宋体" w:cs="Times New Roman"/>
          <w:b w:val="0"/>
          <w:bCs w:val="0"/>
          <w:color w:val="auto"/>
          <w:sz w:val="21"/>
          <w:szCs w:val="21"/>
          <w:highlight w:val="none"/>
          <w:vertAlign w:val="baseline"/>
          <w:lang w:val="en-US" w:eastAsia="zh-CN"/>
        </w:rPr>
        <w:t>2.</w:t>
      </w:r>
      <w:r>
        <w:rPr>
          <w:rFonts w:hint="eastAsia" w:ascii="Times New Roman" w:hAnsi="Times New Roman" w:eastAsia="宋体" w:cs="Times New Roman"/>
          <w:b w:val="0"/>
          <w:bCs w:val="0"/>
          <w:color w:val="auto"/>
          <w:sz w:val="21"/>
          <w:szCs w:val="21"/>
          <w:highlight w:val="none"/>
          <w:vertAlign w:val="baseline"/>
          <w:lang w:val="en-US" w:eastAsia="zh-CN"/>
        </w:rPr>
        <w:t xml:space="preserve"> </w:t>
      </w:r>
      <w:r>
        <w:rPr>
          <w:rFonts w:hint="eastAsia" w:ascii="宋体" w:hAnsi="宋体" w:eastAsia="宋体" w:cs="宋体"/>
          <w:b w:val="0"/>
          <w:bCs w:val="0"/>
          <w:color w:val="auto"/>
          <w:sz w:val="21"/>
          <w:szCs w:val="21"/>
          <w:highlight w:val="none"/>
          <w:vertAlign w:val="baseline"/>
          <w:lang w:val="en-US" w:eastAsia="zh-CN"/>
        </w:rPr>
        <w:t>ATM机故障造成“吞钱”、“吞卡”时法律责任的认定</w:t>
      </w:r>
      <w:bookmarkEnd w:id="83"/>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firstLine="42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但我国法律以及所有银行与客户的协议条款，都没有规定哪种情况下银行要对ATM的非正常交易承担什么责任。</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firstLine="42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在实践中出现ATM机“吞钱”“吞卡”的情形，客户应当及时向银行部门反映情况，根据公平公开、诚实信用原则与银行协商解决问题。因相关法律没有规定ATM机故障情况下承担责任的过错问题，根据银行有义务为客户提供一个安全的交易平台，故银行应该返还客户被吞钱财，返还客户被吞的银行卡。银行不得以任何理由或者借口拖延返还或者不返还。客户亦不得以不正当的方式（如砸ATM机拿取被吞物品）拿取被吞的钱财或卡。</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jc w:val="both"/>
        <w:textAlignment w:val="auto"/>
        <w:outlineLvl w:val="1"/>
        <w:rPr>
          <w:rFonts w:hint="eastAsia" w:ascii="宋体" w:hAnsi="宋体" w:eastAsia="宋体" w:cs="宋体"/>
          <w:b/>
          <w:bCs/>
          <w:color w:val="auto"/>
          <w:sz w:val="24"/>
          <w:szCs w:val="24"/>
          <w:highlight w:val="none"/>
          <w:vertAlign w:val="baseline"/>
          <w:lang w:val="en-US" w:eastAsia="zh-CN"/>
        </w:rPr>
      </w:pPr>
      <w:bookmarkStart w:id="84" w:name="_Toc21881"/>
      <w:bookmarkStart w:id="85" w:name="_Toc9202"/>
      <w:r>
        <w:rPr>
          <w:rFonts w:hint="eastAsia" w:ascii="宋体" w:hAnsi="宋体" w:eastAsia="宋体" w:cs="宋体"/>
          <w:b/>
          <w:bCs/>
          <w:color w:val="auto"/>
          <w:sz w:val="24"/>
          <w:szCs w:val="24"/>
          <w:highlight w:val="none"/>
          <w:vertAlign w:val="baseline"/>
          <w:lang w:val="en-US" w:eastAsia="zh-CN"/>
        </w:rPr>
        <w:t>（三）ATM机系统故障情况下造成的恶意取款</w:t>
      </w:r>
      <w:bookmarkEnd w:id="84"/>
      <w:r>
        <w:rPr>
          <w:rFonts w:hint="eastAsia" w:ascii="宋体" w:hAnsi="宋体" w:eastAsia="宋体" w:cs="宋体"/>
          <w:b/>
          <w:bCs/>
          <w:color w:val="auto"/>
          <w:sz w:val="24"/>
          <w:szCs w:val="24"/>
          <w:highlight w:val="none"/>
          <w:vertAlign w:val="baseline"/>
          <w:lang w:val="en-US" w:eastAsia="zh-CN"/>
        </w:rPr>
        <w:t>情况</w:t>
      </w:r>
      <w:bookmarkEnd w:id="85"/>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2"/>
        <w:rPr>
          <w:rFonts w:hint="eastAsia" w:ascii="宋体" w:hAnsi="宋体" w:eastAsia="宋体" w:cs="宋体"/>
          <w:b w:val="0"/>
          <w:bCs w:val="0"/>
          <w:color w:val="auto"/>
          <w:sz w:val="21"/>
          <w:szCs w:val="21"/>
          <w:highlight w:val="none"/>
          <w:vertAlign w:val="baseline"/>
          <w:lang w:val="en-US" w:eastAsia="zh-CN"/>
        </w:rPr>
      </w:pPr>
      <w:bookmarkStart w:id="86" w:name="_Toc5375"/>
      <w:bookmarkStart w:id="87" w:name="_Toc17430"/>
      <w:r>
        <w:rPr>
          <w:rFonts w:hint="default" w:ascii="Times New Roman" w:hAnsi="Times New Roman" w:eastAsia="宋体" w:cs="Times New Roman"/>
          <w:b w:val="0"/>
          <w:bCs w:val="0"/>
          <w:color w:val="auto"/>
          <w:sz w:val="21"/>
          <w:szCs w:val="21"/>
          <w:highlight w:val="none"/>
          <w:vertAlign w:val="baseline"/>
          <w:lang w:val="en-US" w:eastAsia="zh-CN"/>
        </w:rPr>
        <w:t>1.</w:t>
      </w:r>
      <w:r>
        <w:rPr>
          <w:rFonts w:hint="eastAsia" w:ascii="Times New Roman" w:hAnsi="Times New Roman" w:eastAsia="宋体" w:cs="Times New Roman"/>
          <w:b w:val="0"/>
          <w:bCs w:val="0"/>
          <w:color w:val="auto"/>
          <w:sz w:val="21"/>
          <w:szCs w:val="21"/>
          <w:highlight w:val="none"/>
          <w:vertAlign w:val="baseline"/>
          <w:lang w:val="en-US" w:eastAsia="zh-CN"/>
        </w:rPr>
        <w:t xml:space="preserve"> </w:t>
      </w:r>
      <w:r>
        <w:rPr>
          <w:rFonts w:hint="eastAsia" w:ascii="宋体" w:hAnsi="宋体" w:eastAsia="宋体" w:cs="宋体"/>
          <w:b w:val="0"/>
          <w:bCs w:val="0"/>
          <w:color w:val="auto"/>
          <w:sz w:val="21"/>
          <w:szCs w:val="21"/>
          <w:highlight w:val="none"/>
          <w:vertAlign w:val="baseline"/>
          <w:lang w:val="en-US" w:eastAsia="zh-CN"/>
        </w:rPr>
        <w:t>ATM机“多吐钱”与恶意取款</w:t>
      </w:r>
      <w:bookmarkEnd w:id="86"/>
      <w:bookmarkEnd w:id="87"/>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bookmarkStart w:id="88" w:name="_Toc9310"/>
      <w:r>
        <w:rPr>
          <w:rFonts w:hint="eastAsia" w:ascii="宋体" w:hAnsi="宋体" w:eastAsia="宋体" w:cs="宋体"/>
          <w:b w:val="0"/>
          <w:bCs w:val="0"/>
          <w:color w:val="auto"/>
          <w:sz w:val="21"/>
          <w:szCs w:val="21"/>
          <w:highlight w:val="none"/>
          <w:lang w:val="en-US" w:eastAsia="zh-CN"/>
        </w:rPr>
        <w:t>ATM机“多吐钱”是指客户或者持卡人在不知ATM机系统故障情的情况下，从已经发生故障的的ATM机中取出比自己欲要取出的多余的钱。“恶意取款”是指客户或者持卡人在明知ATM机发生故障的情况下，仍从已发生故障的ATM机中取出超出自己银行卡中已有的钱财，从而给银行造成了损失。二者最大的区别在于行为人在取款时是否存在主观恶意，若存在即为恶意取款，若不存在即另当别论。</w:t>
      </w:r>
      <w:bookmarkEnd w:id="88"/>
      <w:r>
        <w:rPr>
          <w:rFonts w:hint="eastAsia" w:ascii="宋体" w:hAnsi="宋体" w:eastAsia="宋体" w:cs="宋体"/>
          <w:b w:val="0"/>
          <w:bCs w:val="0"/>
          <w:color w:val="auto"/>
          <w:sz w:val="21"/>
          <w:szCs w:val="21"/>
          <w:highlight w:val="none"/>
          <w:lang w:val="en-US" w:eastAsia="zh-CN"/>
        </w:rPr>
        <w:t>以“许霆案</w:t>
      </w:r>
      <w:bookmarkStart w:id="89" w:name="_Toc27864"/>
      <w:r>
        <w:rPr>
          <w:rFonts w:hint="eastAsia" w:ascii="宋体" w:hAnsi="宋体" w:eastAsia="宋体" w:cs="宋体"/>
          <w:b w:val="0"/>
          <w:bCs w:val="0"/>
          <w:color w:val="auto"/>
          <w:sz w:val="21"/>
          <w:szCs w:val="21"/>
          <w:highlight w:val="none"/>
          <w:lang w:val="en-US" w:eastAsia="zh-CN"/>
        </w:rPr>
        <w:t>”为例，许霆第二次从存在故障的ATM机上取款就存在主观恶意，即有将他人财物非法占为己有的意图。</w:t>
      </w:r>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2"/>
        <w:rPr>
          <w:rFonts w:hint="eastAsia" w:ascii="宋体" w:hAnsi="宋体" w:eastAsia="宋体" w:cs="宋体"/>
          <w:b w:val="0"/>
          <w:bCs w:val="0"/>
          <w:color w:val="auto"/>
          <w:sz w:val="21"/>
          <w:szCs w:val="21"/>
          <w:highlight w:val="none"/>
          <w:vertAlign w:val="baseline"/>
          <w:lang w:val="en-US" w:eastAsia="zh-CN"/>
        </w:rPr>
      </w:pPr>
      <w:bookmarkStart w:id="90" w:name="_Toc20954"/>
      <w:r>
        <w:rPr>
          <w:rFonts w:hint="default" w:ascii="Times New Roman" w:hAnsi="Times New Roman" w:eastAsia="宋体" w:cs="Times New Roman"/>
          <w:b w:val="0"/>
          <w:bCs w:val="0"/>
          <w:color w:val="auto"/>
          <w:sz w:val="21"/>
          <w:szCs w:val="21"/>
          <w:highlight w:val="none"/>
          <w:vertAlign w:val="baseline"/>
          <w:lang w:val="en-US" w:eastAsia="zh-CN"/>
        </w:rPr>
        <w:t>2.</w:t>
      </w:r>
      <w:r>
        <w:rPr>
          <w:rFonts w:hint="eastAsia" w:ascii="Times New Roman" w:hAnsi="Times New Roman" w:eastAsia="宋体" w:cs="Times New Roman"/>
          <w:b w:val="0"/>
          <w:bCs w:val="0"/>
          <w:color w:val="auto"/>
          <w:sz w:val="21"/>
          <w:szCs w:val="21"/>
          <w:highlight w:val="none"/>
          <w:vertAlign w:val="baseline"/>
          <w:lang w:val="en-US" w:eastAsia="zh-CN"/>
        </w:rPr>
        <w:t xml:space="preserve"> </w:t>
      </w:r>
      <w:r>
        <w:rPr>
          <w:rFonts w:hint="eastAsia" w:ascii="宋体" w:hAnsi="宋体" w:eastAsia="宋体" w:cs="宋体"/>
          <w:b w:val="0"/>
          <w:bCs w:val="0"/>
          <w:color w:val="auto"/>
          <w:sz w:val="21"/>
          <w:szCs w:val="21"/>
          <w:highlight w:val="none"/>
          <w:vertAlign w:val="baseline"/>
          <w:lang w:val="en-US" w:eastAsia="zh-CN"/>
        </w:rPr>
        <w:t>ATM机“多吐钱”</w:t>
      </w:r>
      <w:bookmarkEnd w:id="89"/>
      <w:bookmarkStart w:id="91" w:name="_Toc20072"/>
      <w:r>
        <w:rPr>
          <w:rFonts w:hint="eastAsia" w:ascii="宋体" w:hAnsi="宋体" w:eastAsia="宋体" w:cs="宋体"/>
          <w:b w:val="0"/>
          <w:bCs w:val="0"/>
          <w:color w:val="auto"/>
          <w:sz w:val="21"/>
          <w:szCs w:val="21"/>
          <w:highlight w:val="none"/>
          <w:vertAlign w:val="baseline"/>
          <w:lang w:val="en-US" w:eastAsia="zh-CN"/>
        </w:rPr>
        <w:t>银行和客户法律关系及法律责任的认定</w:t>
      </w:r>
      <w:bookmarkEnd w:id="90"/>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Chars="200" w:right="0" w:rightChars="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（1）法律关系定性</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right="0" w:rightChars="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   无论ATM机出现什么样的故障，ATM机始终是银行的“代理人”，银行和客户之间也始终存在基本的合同关系。ATM机多吐钱，使客户获得了利益，银行遭受了损失，客户获得利益又无正当的法律依据，客户也不存在主观恶性，客户构成不当得利。</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（2）法律责任认定</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对于ATM机“多吐钱”的问题我国法律无明确的规定，但我国民法通则第92条规定：“没有合法依据取得不当得利，致使他人损失，应当将取得的额不当得利返还给受损的人。其有返还的义务。即在ATM机“多吐钱”行为人无主观恶意时，客户应当返还多余的钱给银行。仅仅承担不当得利的民事法律责任。</w:t>
      </w:r>
      <w:bookmarkEnd w:id="91"/>
    </w:p>
    <w:p>
      <w:pPr>
        <w:keepNext w:val="0"/>
        <w:keepLines w:val="0"/>
        <w:pageBreakBefore w:val="0"/>
        <w:widowControl w:val="0"/>
        <w:kinsoku/>
        <w:wordWrap/>
        <w:overflowPunct/>
        <w:topLinePunct w:val="0"/>
        <w:autoSpaceDE/>
        <w:autoSpaceDN/>
        <w:bidi w:val="0"/>
        <w:adjustRightInd/>
        <w:snapToGrid/>
        <w:spacing w:line="288" w:lineRule="auto"/>
        <w:ind w:right="0" w:rightChars="0"/>
        <w:jc w:val="both"/>
        <w:textAlignment w:val="auto"/>
        <w:outlineLvl w:val="2"/>
        <w:rPr>
          <w:rFonts w:hint="eastAsia" w:ascii="宋体" w:hAnsi="宋体" w:eastAsia="宋体" w:cs="宋体"/>
          <w:b w:val="0"/>
          <w:bCs w:val="0"/>
          <w:color w:val="auto"/>
          <w:sz w:val="21"/>
          <w:szCs w:val="21"/>
          <w:highlight w:val="none"/>
          <w:vertAlign w:val="baseline"/>
          <w:lang w:val="en-US" w:eastAsia="zh-CN"/>
        </w:rPr>
      </w:pPr>
      <w:bookmarkStart w:id="92" w:name="_Toc21488"/>
      <w:bookmarkStart w:id="93" w:name="_Toc17460"/>
      <w:r>
        <w:rPr>
          <w:rFonts w:hint="default" w:ascii="Times New Roman" w:hAnsi="Times New Roman" w:eastAsia="宋体" w:cs="Times New Roman"/>
          <w:b w:val="0"/>
          <w:bCs w:val="0"/>
          <w:color w:val="auto"/>
          <w:sz w:val="21"/>
          <w:szCs w:val="21"/>
          <w:highlight w:val="none"/>
          <w:vertAlign w:val="baseline"/>
          <w:lang w:val="en-US" w:eastAsia="zh-CN"/>
        </w:rPr>
        <w:t>3.</w:t>
      </w:r>
      <w:r>
        <w:rPr>
          <w:rFonts w:hint="eastAsia" w:ascii="宋体" w:hAnsi="宋体" w:eastAsia="宋体" w:cs="宋体"/>
          <w:b w:val="0"/>
          <w:bCs w:val="0"/>
          <w:color w:val="auto"/>
          <w:sz w:val="21"/>
          <w:szCs w:val="21"/>
          <w:highlight w:val="none"/>
          <w:vertAlign w:val="baseline"/>
          <w:lang w:val="en-US" w:eastAsia="zh-CN"/>
        </w:rPr>
        <w:t>“恶意取款”时银行与客户法律</w:t>
      </w:r>
      <w:bookmarkEnd w:id="92"/>
      <w:r>
        <w:rPr>
          <w:rFonts w:hint="eastAsia" w:ascii="宋体" w:hAnsi="宋体" w:eastAsia="宋体" w:cs="宋体"/>
          <w:b w:val="0"/>
          <w:bCs w:val="0"/>
          <w:color w:val="auto"/>
          <w:sz w:val="21"/>
          <w:szCs w:val="21"/>
          <w:highlight w:val="none"/>
          <w:vertAlign w:val="baseline"/>
          <w:lang w:val="en-US" w:eastAsia="zh-CN"/>
        </w:rPr>
        <w:t>关系及法律责任的认定</w:t>
      </w:r>
      <w:bookmarkEnd w:id="93"/>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（1）“恶意取款”时银行与客户法律关系</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bookmarkStart w:id="94" w:name="_Toc29468"/>
      <w:r>
        <w:rPr>
          <w:rFonts w:hint="eastAsia" w:ascii="宋体" w:hAnsi="宋体" w:eastAsia="宋体" w:cs="宋体"/>
          <w:b w:val="0"/>
          <w:bCs w:val="0"/>
          <w:color w:val="auto"/>
          <w:sz w:val="21"/>
          <w:szCs w:val="21"/>
          <w:highlight w:val="none"/>
          <w:lang w:val="en-US" w:eastAsia="zh-CN"/>
        </w:rPr>
        <w:t>恶意取款的性质为利用机器故障或出错谋取利益。银行与客户的法律关系发生了质的变化。从基本法律关系合同关系变更到侵犯财产的刑事犯罪。而银行与客户的法律地位也转变成了受害人和加害人。</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（2）“恶意取款”的法律责任的认定</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我国法律对“恶意取款”的法律性质以及法律责任无相关规定，但司法实践中法院处理过相关案例。其中最典型的案例是广州“许霆”案。许霆案如何定性，在我国的法律界掀起了一场大讨论。终审判决已尘埃落定，但学界、民间的争论仍然没有停止，主要存在无罪(不当得利)、侵占、信用卡诈骗、盗窃四大派别。</w:t>
      </w:r>
      <w:bookmarkEnd w:id="94"/>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bookmarkStart w:id="95" w:name="_Toc15096"/>
      <w:r>
        <w:rPr>
          <w:rFonts w:hint="eastAsia" w:ascii="宋体" w:hAnsi="宋体" w:eastAsia="宋体" w:cs="宋体"/>
          <w:b w:val="0"/>
          <w:bCs w:val="0"/>
          <w:color w:val="auto"/>
          <w:sz w:val="21"/>
          <w:szCs w:val="21"/>
          <w:highlight w:val="none"/>
          <w:lang w:val="en-US" w:eastAsia="zh-CN"/>
        </w:rPr>
        <w:t>个人倾向于“许霆”的行为构成盗窃罪。理由如下：广东省高级人民法院对许霆的二审判决说理非常充分，于是借鉴引用:盗窃罪中规定的“秘密窃取”指的是行为人采取自认为不被财物所有人或保管人当场发觉的方法，违背财物所有人，保管人的意志，利用非暴力的手段取得财物的行为，即“秘密”具有主观性、相对性的特点。“主观性指的是行为人主观上自认为其行为未被发觉，至于实际是否被发觉并不影响秘密性的成立；相对性指的是行为的秘密性只是相对于财物所有人或保管人而言，即只要行为人自认为不会被财物所有人或保管人发觉即可，至于是否会被其他第三人或财物所有人、保管人设置的工具发觉不受影响。秘密性还只相对于行为实行的当时而言，至于行为事后是否会被发觉亦不影响秘密性的成立。</w:t>
      </w:r>
      <w:bookmarkEnd w:id="95"/>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bookmarkStart w:id="96" w:name="_Toc5430"/>
      <w:r>
        <w:rPr>
          <w:rFonts w:hint="eastAsia" w:ascii="宋体" w:hAnsi="宋体" w:eastAsia="宋体" w:cs="宋体"/>
          <w:b w:val="0"/>
          <w:bCs w:val="0"/>
          <w:color w:val="auto"/>
          <w:sz w:val="21"/>
          <w:szCs w:val="21"/>
          <w:highlight w:val="none"/>
          <w:lang w:val="en-US" w:eastAsia="zh-CN"/>
        </w:rPr>
        <w:t>许霆取款时虽然输入了正确的密码，但由于许霆是基于非法占有银行资金的这一犯罪目的进行取款，在此前提下，其操作取款行为只是许霆非法占有银行财产的一种手段，密码是否正确并不影响行为的定性，仅说明其行为具有非暴力性。综上，许霆的恶意取款行为完全符合“秘密窃取”的法律特征。故许霆最终以盗窃罪定罪处罚。</w:t>
      </w:r>
      <w:bookmarkEnd w:id="96"/>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bookmarkStart w:id="97" w:name="_Toc19259"/>
      <w:r>
        <w:rPr>
          <w:rFonts w:hint="eastAsia" w:ascii="宋体" w:hAnsi="宋体" w:eastAsia="宋体" w:cs="宋体"/>
          <w:b w:val="0"/>
          <w:bCs w:val="0"/>
          <w:color w:val="auto"/>
          <w:sz w:val="21"/>
          <w:szCs w:val="21"/>
          <w:highlight w:val="none"/>
          <w:lang w:val="en-US" w:eastAsia="zh-CN"/>
        </w:rPr>
        <w:t>综上所述，ATM机故障情况下，客户操作ATM机时，若无主观恶意即应承担不当得利的民事责任，若有主观恶意，违反刑法规定，就需承担刑事责任。</w:t>
      </w:r>
      <w:bookmarkEnd w:id="97"/>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auto"/>
          <w:sz w:val="21"/>
          <w:szCs w:val="21"/>
          <w:highlight w:val="none"/>
          <w:lang w:val="en-US" w:eastAsia="zh-CN"/>
        </w:rPr>
      </w:pPr>
    </w:p>
    <w:p>
      <w:pPr>
        <w:keepNext w:val="0"/>
        <w:keepLines w:val="0"/>
        <w:pageBreakBefore w:val="0"/>
        <w:widowControl w:val="0"/>
        <w:numPr>
          <w:ilvl w:val="0"/>
          <w:numId w:val="0"/>
        </w:numPr>
        <w:tabs>
          <w:tab w:val="left" w:pos="374"/>
        </w:tabs>
        <w:kinsoku/>
        <w:wordWrap/>
        <w:overflowPunct/>
        <w:topLinePunct w:val="0"/>
        <w:autoSpaceDE/>
        <w:autoSpaceDN/>
        <w:bidi w:val="0"/>
        <w:adjustRightInd/>
        <w:snapToGrid/>
        <w:spacing w:line="240" w:lineRule="auto"/>
        <w:ind w:right="0" w:rightChars="0"/>
        <w:jc w:val="center"/>
        <w:textAlignment w:val="auto"/>
        <w:outlineLvl w:val="0"/>
        <w:rPr>
          <w:rFonts w:hint="eastAsia" w:ascii="宋体" w:hAnsi="宋体" w:eastAsia="宋体" w:cs="宋体"/>
          <w:b/>
          <w:bCs/>
          <w:color w:val="auto"/>
          <w:sz w:val="21"/>
          <w:szCs w:val="21"/>
          <w:highlight w:val="none"/>
          <w:lang w:val="en-US" w:eastAsia="zh-CN"/>
        </w:rPr>
      </w:pPr>
      <w:bookmarkStart w:id="98" w:name="_Toc19190"/>
      <w:bookmarkStart w:id="99" w:name="_Toc10132"/>
      <w:r>
        <w:rPr>
          <w:rFonts w:hint="eastAsia" w:ascii="黑体" w:hAnsi="黑体" w:eastAsia="黑体" w:cs="黑体"/>
          <w:b/>
          <w:bCs/>
          <w:color w:val="auto"/>
          <w:sz w:val="28"/>
          <w:szCs w:val="28"/>
          <w:lang w:val="en-US" w:eastAsia="zh-CN"/>
        </w:rPr>
        <w:t>六、融洽ATM与客户的法律关系的几点建议</w:t>
      </w:r>
      <w:bookmarkEnd w:id="98"/>
      <w:bookmarkEnd w:id="99"/>
      <w:bookmarkStart w:id="100" w:name="_Toc17932"/>
      <w:bookmarkStart w:id="101" w:name="_Toc28315"/>
      <w:bookmarkStart w:id="102" w:name="_Toc13998"/>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1"/>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（一）银行应加强防范法律风险</w:t>
      </w:r>
      <w:bookmarkEnd w:id="100"/>
      <w:bookmarkEnd w:id="101"/>
      <w:bookmarkEnd w:id="102"/>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8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1.银行应确保ATM机的正常运行和安全的用卡环境；</w:t>
      </w:r>
      <w:r>
        <w:rPr>
          <w:rFonts w:hint="eastAsia" w:ascii="宋体" w:hAnsi="宋体" w:eastAsia="宋体" w:cs="宋体"/>
          <w:b w:val="0"/>
          <w:bCs w:val="0"/>
          <w:color w:val="auto"/>
          <w:sz w:val="21"/>
          <w:szCs w:val="21"/>
          <w:lang w:val="en-US" w:eastAsia="zh-CN"/>
        </w:rPr>
        <w:t>应完善网络银行专项管理部门，明确管理人员的职责。实时</w:t>
      </w:r>
      <w:r>
        <w:rPr>
          <w:rFonts w:hint="eastAsia" w:ascii="宋体" w:hAnsi="宋体" w:cs="宋体"/>
          <w:b w:val="0"/>
          <w:bCs w:val="0"/>
          <w:color w:val="auto"/>
          <w:sz w:val="21"/>
          <w:szCs w:val="21"/>
          <w:lang w:val="en-US" w:eastAsia="zh-CN"/>
        </w:rPr>
        <w:t>更新</w:t>
      </w:r>
      <w:r>
        <w:rPr>
          <w:rFonts w:hint="eastAsia" w:ascii="宋体" w:hAnsi="宋体" w:eastAsia="宋体" w:cs="宋体"/>
          <w:b w:val="0"/>
          <w:bCs w:val="0"/>
          <w:color w:val="auto"/>
          <w:sz w:val="21"/>
          <w:szCs w:val="21"/>
          <w:lang w:val="en-US" w:eastAsia="zh-CN"/>
        </w:rPr>
        <w:t>网络技术。</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80"/>
        <w:jc w:val="both"/>
        <w:textAlignment w:val="auto"/>
        <w:outlineLvl w:val="9"/>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2.</w:t>
      </w:r>
      <w:r>
        <w:rPr>
          <w:rFonts w:hint="eastAsia" w:ascii="宋体" w:hAnsi="宋体" w:eastAsia="宋体" w:cs="宋体"/>
          <w:b w:val="0"/>
          <w:bCs w:val="0"/>
          <w:color w:val="auto"/>
          <w:sz w:val="21"/>
          <w:szCs w:val="21"/>
          <w:lang w:val="en-US" w:eastAsia="zh-CN"/>
        </w:rPr>
        <w:t>完善银行与</w:t>
      </w:r>
      <w:r>
        <w:rPr>
          <w:rFonts w:hint="eastAsia" w:ascii="宋体" w:hAnsi="宋体" w:cs="宋体"/>
          <w:b w:val="0"/>
          <w:bCs w:val="0"/>
          <w:color w:val="auto"/>
          <w:sz w:val="21"/>
          <w:szCs w:val="21"/>
          <w:lang w:val="en-US" w:eastAsia="zh-CN"/>
        </w:rPr>
        <w:t>ATM机</w:t>
      </w:r>
      <w:r>
        <w:rPr>
          <w:rFonts w:hint="eastAsia" w:ascii="宋体" w:hAnsi="宋体" w:eastAsia="宋体" w:cs="宋体"/>
          <w:b w:val="0"/>
          <w:bCs w:val="0"/>
          <w:color w:val="auto"/>
          <w:sz w:val="21"/>
          <w:szCs w:val="21"/>
          <w:lang w:val="en-US" w:eastAsia="zh-CN"/>
        </w:rPr>
        <w:t>生产商和软件供应商的</w:t>
      </w:r>
      <w:r>
        <w:rPr>
          <w:rFonts w:hint="eastAsia" w:ascii="宋体" w:hAnsi="宋体" w:cs="宋体"/>
          <w:b w:val="0"/>
          <w:bCs w:val="0"/>
          <w:color w:val="auto"/>
          <w:sz w:val="21"/>
          <w:szCs w:val="21"/>
          <w:lang w:val="en-US" w:eastAsia="zh-CN"/>
        </w:rPr>
        <w:t>合同</w:t>
      </w:r>
      <w:r>
        <w:rPr>
          <w:rFonts w:hint="eastAsia" w:ascii="宋体" w:hAnsi="宋体" w:eastAsia="宋体" w:cs="宋体"/>
          <w:b w:val="0"/>
          <w:bCs w:val="0"/>
          <w:color w:val="auto"/>
          <w:sz w:val="21"/>
          <w:szCs w:val="21"/>
          <w:lang w:val="en-US" w:eastAsia="zh-CN"/>
        </w:rPr>
        <w:t>协议，</w:t>
      </w:r>
      <w:r>
        <w:rPr>
          <w:rFonts w:hint="eastAsia" w:ascii="宋体" w:hAnsi="宋体" w:cs="宋体"/>
          <w:b w:val="0"/>
          <w:bCs w:val="0"/>
          <w:color w:val="auto"/>
          <w:sz w:val="21"/>
          <w:szCs w:val="21"/>
          <w:lang w:val="en-US" w:eastAsia="zh-CN"/>
        </w:rPr>
        <w:t>具体的来说就是</w:t>
      </w:r>
      <w:r>
        <w:rPr>
          <w:rFonts w:hint="eastAsia" w:ascii="宋体" w:hAnsi="宋体" w:eastAsia="宋体" w:cs="宋体"/>
          <w:b w:val="0"/>
          <w:bCs w:val="0"/>
          <w:color w:val="auto"/>
          <w:sz w:val="21"/>
          <w:szCs w:val="21"/>
          <w:lang w:val="en-US" w:eastAsia="zh-CN"/>
        </w:rPr>
        <w:t>银行在与</w:t>
      </w:r>
      <w:r>
        <w:rPr>
          <w:rFonts w:hint="eastAsia" w:ascii="宋体" w:hAnsi="宋体" w:cs="宋体"/>
          <w:b w:val="0"/>
          <w:bCs w:val="0"/>
          <w:color w:val="auto"/>
          <w:sz w:val="21"/>
          <w:szCs w:val="21"/>
          <w:lang w:val="en-US" w:eastAsia="zh-CN"/>
        </w:rPr>
        <w:t>ATM机</w:t>
      </w:r>
      <w:r>
        <w:rPr>
          <w:rFonts w:hint="eastAsia" w:ascii="宋体" w:hAnsi="宋体" w:eastAsia="宋体" w:cs="宋体"/>
          <w:b w:val="0"/>
          <w:bCs w:val="0"/>
          <w:color w:val="auto"/>
          <w:sz w:val="21"/>
          <w:szCs w:val="21"/>
          <w:lang w:val="en-US" w:eastAsia="zh-CN"/>
        </w:rPr>
        <w:t>软件、硬件供应商</w:t>
      </w:r>
      <w:r>
        <w:rPr>
          <w:rFonts w:hint="eastAsia" w:ascii="宋体" w:hAnsi="宋体" w:cs="宋体"/>
          <w:b w:val="0"/>
          <w:bCs w:val="0"/>
          <w:color w:val="auto"/>
          <w:sz w:val="21"/>
          <w:szCs w:val="21"/>
          <w:lang w:val="en-US" w:eastAsia="zh-CN"/>
        </w:rPr>
        <w:t>订立</w:t>
      </w:r>
      <w:r>
        <w:rPr>
          <w:rFonts w:hint="eastAsia" w:ascii="宋体" w:hAnsi="宋体" w:eastAsia="宋体" w:cs="宋体"/>
          <w:b w:val="0"/>
          <w:bCs w:val="0"/>
          <w:color w:val="auto"/>
          <w:sz w:val="21"/>
          <w:szCs w:val="21"/>
          <w:lang w:val="en-US" w:eastAsia="zh-CN"/>
        </w:rPr>
        <w:t>合同时，应</w:t>
      </w:r>
      <w:r>
        <w:rPr>
          <w:rFonts w:hint="eastAsia" w:ascii="宋体" w:hAnsi="宋体" w:cs="宋体"/>
          <w:b w:val="0"/>
          <w:bCs w:val="0"/>
          <w:color w:val="auto"/>
          <w:sz w:val="21"/>
          <w:szCs w:val="21"/>
          <w:lang w:val="en-US" w:eastAsia="zh-CN"/>
        </w:rPr>
        <w:t>该对ATM机故障后各自承担的责任进行</w:t>
      </w:r>
      <w:r>
        <w:rPr>
          <w:rFonts w:hint="eastAsia" w:ascii="宋体" w:hAnsi="宋体" w:eastAsia="宋体" w:cs="宋体"/>
          <w:b w:val="0"/>
          <w:bCs w:val="0"/>
          <w:color w:val="auto"/>
          <w:sz w:val="21"/>
          <w:szCs w:val="21"/>
          <w:lang w:val="en-US" w:eastAsia="zh-CN"/>
        </w:rPr>
        <w:t>约定，</w:t>
      </w:r>
      <w:r>
        <w:rPr>
          <w:rFonts w:hint="eastAsia" w:ascii="宋体" w:hAnsi="宋体" w:cs="宋体"/>
          <w:b w:val="0"/>
          <w:bCs w:val="0"/>
          <w:color w:val="auto"/>
          <w:sz w:val="21"/>
          <w:szCs w:val="21"/>
          <w:lang w:val="en-US" w:eastAsia="zh-CN"/>
        </w:rPr>
        <w:t>以</w:t>
      </w:r>
      <w:r>
        <w:rPr>
          <w:rFonts w:hint="eastAsia" w:ascii="宋体" w:hAnsi="宋体" w:eastAsia="宋体" w:cs="宋体"/>
          <w:b w:val="0"/>
          <w:bCs w:val="0"/>
          <w:color w:val="auto"/>
          <w:sz w:val="21"/>
          <w:szCs w:val="21"/>
          <w:lang w:val="en-US" w:eastAsia="zh-CN"/>
        </w:rPr>
        <w:t>明确责任</w:t>
      </w:r>
      <w:r>
        <w:rPr>
          <w:rFonts w:hint="eastAsia" w:ascii="宋体" w:hAnsi="宋体" w:cs="宋体"/>
          <w:b w:val="0"/>
          <w:bCs w:val="0"/>
          <w:color w:val="auto"/>
          <w:sz w:val="21"/>
          <w:szCs w:val="21"/>
          <w:lang w:val="en-US" w:eastAsia="zh-CN"/>
        </w:rPr>
        <w:t>的</w:t>
      </w:r>
      <w:r>
        <w:rPr>
          <w:rFonts w:hint="eastAsia" w:ascii="宋体" w:hAnsi="宋体" w:eastAsia="宋体" w:cs="宋体"/>
          <w:b w:val="0"/>
          <w:bCs w:val="0"/>
          <w:color w:val="auto"/>
          <w:sz w:val="21"/>
          <w:szCs w:val="21"/>
          <w:lang w:val="en-US" w:eastAsia="zh-CN"/>
        </w:rPr>
        <w:t>承担</w:t>
      </w:r>
      <w:r>
        <w:rPr>
          <w:rFonts w:hint="eastAsia" w:ascii="宋体" w:hAnsi="宋体" w:cs="宋体"/>
          <w:b w:val="0"/>
          <w:bCs w:val="0"/>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80"/>
        <w:jc w:val="both"/>
        <w:textAlignment w:val="auto"/>
        <w:outlineLvl w:val="9"/>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lang w:val="en-US" w:eastAsia="zh-CN"/>
        </w:rPr>
        <w:t>3.</w:t>
      </w:r>
      <w:r>
        <w:rPr>
          <w:rFonts w:hint="eastAsia" w:ascii="宋体" w:hAnsi="宋体" w:eastAsia="宋体" w:cs="宋体"/>
          <w:b w:val="0"/>
          <w:bCs w:val="0"/>
          <w:color w:val="auto"/>
          <w:sz w:val="21"/>
          <w:szCs w:val="21"/>
          <w:lang w:val="en-US" w:eastAsia="zh-CN"/>
        </w:rPr>
        <w:t>完善银行与客户的之间的协议，引导客户提高用卡的安全防范意识。</w:t>
      </w:r>
      <w:r>
        <w:rPr>
          <w:rFonts w:hint="eastAsia" w:ascii="宋体" w:hAnsi="宋体" w:cs="宋体"/>
          <w:b w:val="0"/>
          <w:bCs w:val="0"/>
          <w:color w:val="auto"/>
          <w:sz w:val="21"/>
          <w:szCs w:val="21"/>
          <w:lang w:val="en-US" w:eastAsia="zh-CN"/>
        </w:rPr>
        <w:t>银行</w:t>
      </w:r>
      <w:r>
        <w:rPr>
          <w:rFonts w:hint="eastAsia" w:ascii="宋体" w:hAnsi="宋体" w:eastAsia="宋体" w:cs="宋体"/>
          <w:b w:val="0"/>
          <w:bCs w:val="0"/>
          <w:color w:val="auto"/>
          <w:sz w:val="21"/>
          <w:szCs w:val="21"/>
          <w:lang w:val="en-US" w:eastAsia="zh-CN"/>
        </w:rPr>
        <w:t>应采取多种方式，教育客户提高用卡安全防范意识。</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80"/>
        <w:jc w:val="both"/>
        <w:textAlignment w:val="auto"/>
        <w:outlineLvl w:val="9"/>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4.银行应对ATM机的外部风险进行防范。银行应在每个ATM机放置点都应该安装ATM机电子摄像监控设备、防撬窃报警和联网报警系统等安全防范设施，并且定期派遣技术人员进行检查。重点检查插卡口和出钞口、键盘吞没卡回收箱等部位，妥善保管ATM监管录像，一旦发现微卡、空白卡、吞没卡应立即报告上级主管部门，并向当地公安机关报案。</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1"/>
        <w:rPr>
          <w:rFonts w:hint="eastAsia" w:ascii="宋体" w:hAnsi="宋体" w:eastAsia="宋体" w:cs="宋体"/>
          <w:b/>
          <w:bCs/>
          <w:sz w:val="24"/>
          <w:szCs w:val="24"/>
          <w:highlight w:val="none"/>
          <w:lang w:val="en-US" w:eastAsia="zh-CN"/>
        </w:rPr>
      </w:pPr>
      <w:bookmarkStart w:id="103" w:name="_Toc9956"/>
      <w:r>
        <w:rPr>
          <w:rFonts w:hint="eastAsia" w:ascii="宋体" w:hAnsi="宋体" w:eastAsia="宋体" w:cs="宋体"/>
          <w:b/>
          <w:bCs/>
          <w:sz w:val="24"/>
          <w:szCs w:val="24"/>
          <w:highlight w:val="none"/>
          <w:lang w:val="en-US" w:eastAsia="zh-CN"/>
        </w:rPr>
        <w:t xml:space="preserve"> </w:t>
      </w:r>
      <w:bookmarkStart w:id="104" w:name="_Toc9407"/>
      <w:r>
        <w:rPr>
          <w:rFonts w:hint="eastAsia" w:ascii="宋体" w:hAnsi="宋体" w:eastAsia="宋体" w:cs="宋体"/>
          <w:b/>
          <w:bCs/>
          <w:sz w:val="24"/>
          <w:szCs w:val="24"/>
          <w:highlight w:val="none"/>
          <w:lang w:val="en-US" w:eastAsia="zh-CN"/>
        </w:rPr>
        <w:t>（二）客户应提高风险意识和权益保护意识</w:t>
      </w:r>
      <w:bookmarkEnd w:id="103"/>
      <w:bookmarkEnd w:id="104"/>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cs="宋体"/>
          <w:b w:val="0"/>
          <w:bCs w:val="0"/>
          <w:color w:val="auto"/>
          <w:sz w:val="21"/>
          <w:szCs w:val="21"/>
          <w:lang w:val="en-US" w:eastAsia="zh-CN"/>
        </w:rPr>
      </w:pPr>
      <w:r>
        <w:rPr>
          <w:rFonts w:hint="eastAsia" w:ascii="宋体" w:hAnsi="宋体" w:cs="宋体"/>
          <w:b w:val="0"/>
          <w:bCs w:val="0"/>
          <w:sz w:val="21"/>
          <w:szCs w:val="21"/>
          <w:lang w:val="en-US" w:eastAsia="zh-CN"/>
        </w:rPr>
        <w:t xml:space="preserve">    </w:t>
      </w:r>
      <w:r>
        <w:rPr>
          <w:rFonts w:hint="eastAsia" w:ascii="宋体" w:hAnsi="宋体" w:eastAsia="宋体" w:cs="宋体"/>
          <w:b w:val="0"/>
          <w:bCs w:val="0"/>
          <w:sz w:val="21"/>
          <w:szCs w:val="21"/>
          <w:lang w:val="en-US" w:eastAsia="zh-CN"/>
        </w:rPr>
        <w:t>公民法律意识的提高，是顺利推进法制建设和依法治国的基础和前提。公民应当通过精神文明建设，全面提高自身素质</w:t>
      </w:r>
      <w:r>
        <w:rPr>
          <w:rFonts w:hint="eastAsia" w:ascii="宋体" w:hAnsi="宋体" w:cs="宋体"/>
          <w:b w:val="0"/>
          <w:bCs w:val="0"/>
          <w:sz w:val="21"/>
          <w:szCs w:val="21"/>
          <w:lang w:val="en-US" w:eastAsia="zh-CN"/>
        </w:rPr>
        <w:t>，</w:t>
      </w:r>
      <w:r>
        <w:rPr>
          <w:rFonts w:hint="eastAsia" w:ascii="宋体" w:hAnsi="宋体" w:eastAsia="宋体" w:cs="宋体"/>
          <w:b w:val="0"/>
          <w:bCs w:val="0"/>
          <w:sz w:val="21"/>
          <w:szCs w:val="21"/>
          <w:lang w:val="en-US" w:eastAsia="zh-CN"/>
        </w:rPr>
        <w:t>通过普法，建立法律意识和学习法律知识。精神文明建设的各项内容是互相联系、互相影响和互相促进的。在文化建设上要注重发展多种形式和多层教育，提高公民自身的科学文化素质和法制观念。要坚持正确的舆论导向，弘扬正气，倡导文明健康的生活方式和行为方式</w:t>
      </w:r>
      <w:r>
        <w:rPr>
          <w:rFonts w:hint="eastAsia" w:ascii="宋体" w:hAnsi="宋体" w:cs="宋体"/>
          <w:b w:val="0"/>
          <w:bCs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1"/>
        <w:rPr>
          <w:rFonts w:hint="eastAsia" w:ascii="宋体" w:hAnsi="宋体" w:eastAsia="宋体" w:cs="宋体"/>
          <w:b/>
          <w:bCs/>
          <w:sz w:val="24"/>
          <w:szCs w:val="24"/>
          <w:highlight w:val="none"/>
          <w:lang w:val="en-US" w:eastAsia="zh-CN"/>
        </w:rPr>
      </w:pPr>
      <w:bookmarkStart w:id="105" w:name="_Toc1177"/>
      <w:r>
        <w:rPr>
          <w:rFonts w:hint="eastAsia" w:ascii="宋体" w:hAnsi="宋体" w:eastAsia="宋体" w:cs="宋体"/>
          <w:b/>
          <w:bCs/>
          <w:sz w:val="24"/>
          <w:szCs w:val="24"/>
          <w:highlight w:val="none"/>
          <w:lang w:val="en-US" w:eastAsia="zh-CN"/>
        </w:rPr>
        <w:t>（三）完善关于ATM业务的立法</w:t>
      </w:r>
      <w:bookmarkEnd w:id="105"/>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lang w:eastAsia="zh-CN"/>
        </w:rPr>
        <w:t>规制</w:t>
      </w:r>
      <w:r>
        <w:rPr>
          <w:rFonts w:hint="eastAsia" w:ascii="宋体" w:hAnsi="宋体" w:cs="宋体"/>
          <w:b w:val="0"/>
          <w:bCs w:val="0"/>
          <w:color w:val="auto"/>
          <w:sz w:val="21"/>
          <w:szCs w:val="21"/>
          <w:lang w:eastAsia="zh-CN"/>
        </w:rPr>
        <w:t>、</w:t>
      </w:r>
      <w:r>
        <w:rPr>
          <w:rFonts w:hint="eastAsia" w:ascii="宋体" w:hAnsi="宋体" w:eastAsia="宋体" w:cs="宋体"/>
          <w:b w:val="0"/>
          <w:bCs w:val="0"/>
          <w:color w:val="auto"/>
          <w:sz w:val="21"/>
          <w:szCs w:val="21"/>
          <w:lang w:eastAsia="zh-CN"/>
        </w:rPr>
        <w:t>监管银行</w:t>
      </w:r>
      <w:r>
        <w:rPr>
          <w:rFonts w:hint="eastAsia" w:ascii="宋体" w:hAnsi="宋体" w:eastAsia="宋体" w:cs="宋体"/>
          <w:b w:val="0"/>
          <w:bCs w:val="0"/>
          <w:color w:val="auto"/>
          <w:sz w:val="21"/>
          <w:szCs w:val="21"/>
          <w:lang w:val="en-US" w:eastAsia="zh-CN"/>
        </w:rPr>
        <w:t>ATM业务，针对现有的ATM业务中存在的法律问题或即将出现的法律问题做出相对明确的指示或者指引。</w:t>
      </w:r>
      <w:r>
        <w:rPr>
          <w:rFonts w:hint="eastAsia" w:ascii="宋体" w:hAnsi="宋体" w:cs="宋体"/>
          <w:b w:val="0"/>
          <w:bCs w:val="0"/>
          <w:color w:val="auto"/>
          <w:sz w:val="21"/>
          <w:szCs w:val="21"/>
          <w:lang w:val="en-US" w:eastAsia="zh-CN"/>
        </w:rPr>
        <w:t>如：明确规定在ATM机出现吞卡、吞钱时，在客户及时告知银行后，银行应该当返还，以明晰银行与客户的法律关系。</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80"/>
        <w:jc w:val="both"/>
        <w:textAlignment w:val="auto"/>
        <w:outlineLvl w:val="9"/>
        <w:rPr>
          <w:rFonts w:hint="eastAsia" w:ascii="宋体" w:hAnsi="宋体" w:eastAsia="宋体" w:cs="宋体"/>
          <w:b w:val="0"/>
          <w:bCs w:val="0"/>
          <w:color w:val="auto"/>
          <w:sz w:val="21"/>
          <w:szCs w:val="21"/>
          <w:lang w:eastAsia="zh-CN"/>
        </w:rPr>
      </w:pPr>
      <w:r>
        <w:rPr>
          <w:rFonts w:hint="eastAsia" w:ascii="宋体" w:hAnsi="宋体" w:cs="宋体"/>
          <w:b w:val="0"/>
          <w:bCs w:val="0"/>
          <w:color w:val="auto"/>
          <w:sz w:val="21"/>
          <w:szCs w:val="21"/>
          <w:lang w:val="en-US" w:eastAsia="zh-CN"/>
        </w:rPr>
        <w:t>我国应制定关于</w:t>
      </w:r>
      <w:r>
        <w:rPr>
          <w:rFonts w:hint="eastAsia" w:ascii="宋体" w:hAnsi="宋体" w:eastAsia="宋体" w:cs="宋体"/>
          <w:b w:val="0"/>
          <w:bCs w:val="0"/>
          <w:color w:val="auto"/>
          <w:sz w:val="21"/>
          <w:szCs w:val="21"/>
          <w:lang w:eastAsia="zh-CN"/>
        </w:rPr>
        <w:t>打击针对ATM的犯罪</w:t>
      </w:r>
      <w:r>
        <w:rPr>
          <w:rFonts w:hint="eastAsia" w:ascii="宋体" w:hAnsi="宋体" w:cs="宋体"/>
          <w:b w:val="0"/>
          <w:bCs w:val="0"/>
          <w:color w:val="auto"/>
          <w:sz w:val="21"/>
          <w:szCs w:val="21"/>
          <w:lang w:eastAsia="zh-CN"/>
        </w:rPr>
        <w:t>的法律</w:t>
      </w:r>
      <w:r>
        <w:rPr>
          <w:rFonts w:hint="eastAsia" w:ascii="宋体" w:hAnsi="宋体" w:eastAsia="宋体" w:cs="宋体"/>
          <w:b w:val="0"/>
          <w:bCs w:val="0"/>
          <w:color w:val="auto"/>
          <w:sz w:val="21"/>
          <w:szCs w:val="21"/>
          <w:lang w:eastAsia="zh-CN"/>
        </w:rPr>
        <w:t>。对于那些确实符合刑法的犯罪构成要件</w:t>
      </w:r>
      <w:r>
        <w:rPr>
          <w:rFonts w:hint="eastAsia" w:ascii="宋体" w:hAnsi="宋体" w:cs="宋体"/>
          <w:b w:val="0"/>
          <w:bCs w:val="0"/>
          <w:color w:val="auto"/>
          <w:sz w:val="21"/>
          <w:szCs w:val="21"/>
          <w:lang w:eastAsia="zh-CN"/>
        </w:rPr>
        <w:t>的</w:t>
      </w:r>
      <w:r>
        <w:rPr>
          <w:rFonts w:hint="eastAsia" w:ascii="宋体" w:hAnsi="宋体" w:eastAsia="宋体" w:cs="宋体"/>
          <w:b w:val="0"/>
          <w:bCs w:val="0"/>
          <w:color w:val="auto"/>
          <w:sz w:val="21"/>
          <w:szCs w:val="21"/>
          <w:lang w:eastAsia="zh-CN"/>
        </w:rPr>
        <w:t>ATM的犯罪行为,就应</w:t>
      </w:r>
      <w:r>
        <w:rPr>
          <w:rFonts w:hint="eastAsia" w:ascii="宋体" w:hAnsi="宋体" w:cs="宋体"/>
          <w:b w:val="0"/>
          <w:bCs w:val="0"/>
          <w:color w:val="auto"/>
          <w:sz w:val="21"/>
          <w:szCs w:val="21"/>
          <w:lang w:eastAsia="zh-CN"/>
        </w:rPr>
        <w:t>该</w:t>
      </w:r>
      <w:r>
        <w:rPr>
          <w:rFonts w:hint="eastAsia" w:ascii="宋体" w:hAnsi="宋体" w:eastAsia="宋体" w:cs="宋体"/>
          <w:b w:val="0"/>
          <w:bCs w:val="0"/>
          <w:color w:val="auto"/>
          <w:sz w:val="21"/>
          <w:szCs w:val="21"/>
          <w:lang w:eastAsia="zh-CN"/>
        </w:rPr>
        <w:t>定罪量刑,给予惩罚。</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firstLine="480"/>
        <w:jc w:val="both"/>
        <w:textAlignment w:val="auto"/>
        <w:outlineLvl w:val="9"/>
        <w:rPr>
          <w:rFonts w:hint="eastAsia" w:ascii="宋体" w:hAnsi="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我们可以参考</w:t>
      </w:r>
      <w:r>
        <w:rPr>
          <w:rFonts w:hint="eastAsia" w:ascii="宋体" w:hAnsi="宋体" w:cs="宋体"/>
          <w:b w:val="0"/>
          <w:bCs w:val="0"/>
          <w:color w:val="auto"/>
          <w:sz w:val="21"/>
          <w:szCs w:val="21"/>
          <w:lang w:val="en-US" w:eastAsia="zh-CN"/>
        </w:rPr>
        <w:t>国外</w:t>
      </w:r>
      <w:r>
        <w:rPr>
          <w:rFonts w:hint="eastAsia" w:ascii="宋体" w:hAnsi="宋体" w:eastAsia="宋体" w:cs="宋体"/>
          <w:b w:val="0"/>
          <w:bCs w:val="0"/>
          <w:color w:val="auto"/>
          <w:sz w:val="21"/>
          <w:szCs w:val="21"/>
          <w:lang w:val="en-US" w:eastAsia="zh-CN"/>
        </w:rPr>
        <w:t>的法律，如美国的</w:t>
      </w:r>
      <w:r>
        <w:rPr>
          <w:rFonts w:hint="eastAsia" w:ascii="宋体" w:hAnsi="宋体" w:cs="宋体"/>
          <w:b w:val="0"/>
          <w:bCs w:val="0"/>
          <w:color w:val="auto"/>
          <w:sz w:val="21"/>
          <w:szCs w:val="21"/>
          <w:lang w:val="en-US" w:eastAsia="zh-CN"/>
        </w:rPr>
        <w:t>1978年的</w:t>
      </w:r>
      <w:r>
        <w:rPr>
          <w:rFonts w:hint="eastAsia" w:ascii="宋体" w:hAnsi="宋体" w:eastAsia="宋体" w:cs="宋体"/>
          <w:b w:val="0"/>
          <w:bCs w:val="0"/>
          <w:color w:val="auto"/>
          <w:sz w:val="21"/>
          <w:szCs w:val="21"/>
          <w:lang w:val="en-US" w:eastAsia="zh-CN"/>
        </w:rPr>
        <w:t>《电子资金划拨法》</w:t>
      </w:r>
      <w:r>
        <w:rPr>
          <w:rStyle w:val="12"/>
          <w:rFonts w:hint="eastAsia" w:ascii="宋体" w:hAnsi="宋体" w:eastAsia="宋体" w:cs="宋体"/>
          <w:b w:val="0"/>
          <w:bCs w:val="0"/>
          <w:color w:val="auto"/>
          <w:sz w:val="21"/>
          <w:szCs w:val="21"/>
          <w:lang w:val="en-US" w:eastAsia="zh-CN"/>
        </w:rPr>
        <w:t>[</w:t>
      </w:r>
      <w:r>
        <w:rPr>
          <w:rStyle w:val="12"/>
          <w:rFonts w:hint="eastAsia" w:ascii="宋体" w:hAnsi="宋体" w:eastAsia="宋体" w:cs="宋体"/>
          <w:b w:val="0"/>
          <w:bCs w:val="0"/>
          <w:color w:val="auto"/>
          <w:sz w:val="21"/>
          <w:szCs w:val="21"/>
          <w:lang w:val="en-US" w:eastAsia="zh-CN"/>
        </w:rPr>
        <w:footnoteReference w:id="110"/>
      </w:r>
      <w:r>
        <w:rPr>
          <w:rStyle w:val="12"/>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（(Electron-icFund TransferAct)和</w:t>
      </w:r>
      <w:r>
        <w:rPr>
          <w:rFonts w:hint="eastAsia" w:ascii="宋体" w:hAnsi="宋体" w:cs="宋体"/>
          <w:b w:val="0"/>
          <w:bCs w:val="0"/>
          <w:color w:val="auto"/>
          <w:sz w:val="21"/>
          <w:szCs w:val="21"/>
          <w:lang w:val="en-US" w:eastAsia="zh-CN"/>
        </w:rPr>
        <w:t>英国的《</w:t>
      </w:r>
      <w:r>
        <w:rPr>
          <w:rFonts w:hint="eastAsia" w:ascii="宋体" w:hAnsi="宋体" w:eastAsia="宋体" w:cs="宋体"/>
          <w:b w:val="0"/>
          <w:bCs w:val="0"/>
          <w:color w:val="auto"/>
          <w:sz w:val="21"/>
          <w:szCs w:val="21"/>
          <w:lang w:val="en-US" w:eastAsia="zh-CN"/>
        </w:rPr>
        <w:t>银行业惯例守则</w:t>
      </w:r>
      <w:r>
        <w:rPr>
          <w:rFonts w:hint="eastAsia" w:ascii="宋体" w:hAnsi="宋体" w:cs="宋体"/>
          <w:b w:val="0"/>
          <w:bCs w:val="0"/>
          <w:color w:val="auto"/>
          <w:sz w:val="21"/>
          <w:szCs w:val="21"/>
          <w:lang w:val="en-US" w:eastAsia="zh-CN"/>
        </w:rPr>
        <w:t>》</w:t>
      </w:r>
      <w:r>
        <w:rPr>
          <w:rStyle w:val="12"/>
          <w:rFonts w:hint="eastAsia" w:ascii="宋体" w:hAnsi="宋体" w:cs="宋体"/>
          <w:b w:val="0"/>
          <w:bCs w:val="0"/>
          <w:color w:val="auto"/>
          <w:sz w:val="21"/>
          <w:szCs w:val="21"/>
          <w:lang w:val="en-US" w:eastAsia="zh-CN"/>
        </w:rPr>
        <w:t>[</w:t>
      </w:r>
      <w:r>
        <w:rPr>
          <w:rStyle w:val="12"/>
          <w:rFonts w:hint="eastAsia" w:ascii="宋体" w:hAnsi="宋体" w:cs="宋体"/>
          <w:b w:val="0"/>
          <w:bCs w:val="0"/>
          <w:color w:val="auto"/>
          <w:sz w:val="21"/>
          <w:szCs w:val="21"/>
          <w:lang w:val="en-US" w:eastAsia="zh-CN"/>
        </w:rPr>
        <w:footnoteReference w:id="111"/>
      </w:r>
      <w:r>
        <w:rPr>
          <w:rStyle w:val="12"/>
          <w:rFonts w:hint="eastAsia" w:ascii="宋体" w:hAnsi="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(Code of Banking</w:t>
      </w:r>
      <w:r>
        <w:rPr>
          <w:rFonts w:hint="eastAsia" w:ascii="宋体" w:hAnsi="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lang w:val="en-US" w:eastAsia="zh-CN"/>
        </w:rPr>
        <w:t>Prac -tice)，并结合自己国家的国情来制定和完善法律法规。</w:t>
      </w:r>
      <w:r>
        <w:rPr>
          <w:rFonts w:hint="eastAsia" w:ascii="宋体" w:hAnsi="宋体" w:cs="宋体"/>
          <w:b w:val="0"/>
          <w:bCs w:val="0"/>
          <w:color w:val="auto"/>
          <w:sz w:val="21"/>
          <w:szCs w:val="21"/>
          <w:lang w:val="en-US" w:eastAsia="zh-CN"/>
        </w:rPr>
        <w:t>即我国可以制定符合自身国情的《</w:t>
      </w:r>
      <w:r>
        <w:rPr>
          <w:rFonts w:hint="eastAsia" w:ascii="宋体" w:hAnsi="宋体" w:eastAsia="宋体" w:cs="宋体"/>
          <w:b w:val="0"/>
          <w:bCs w:val="0"/>
          <w:color w:val="auto"/>
          <w:sz w:val="21"/>
          <w:szCs w:val="21"/>
          <w:lang w:val="en-US" w:eastAsia="zh-CN"/>
        </w:rPr>
        <w:t>电子资金划拨法</w:t>
      </w:r>
      <w:r>
        <w:rPr>
          <w:rFonts w:hint="eastAsia" w:ascii="宋体" w:hAnsi="宋体" w:cs="宋体"/>
          <w:b w:val="0"/>
          <w:bCs w:val="0"/>
          <w:color w:val="auto"/>
          <w:sz w:val="21"/>
          <w:szCs w:val="21"/>
          <w:lang w:val="en-US" w:eastAsia="zh-CN"/>
        </w:rPr>
        <w:t>》</w:t>
      </w:r>
      <w:bookmarkStart w:id="106" w:name="_Toc15089"/>
      <w:r>
        <w:rPr>
          <w:rFonts w:hint="eastAsia" w:ascii="宋体" w:hAnsi="宋体" w:cs="宋体"/>
          <w:b w:val="0"/>
          <w:bCs w:val="0"/>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textAlignment w:val="auto"/>
        <w:outlineLvl w:val="9"/>
        <w:rPr>
          <w:rFonts w:hint="eastAsia" w:ascii="宋体" w:hAnsi="宋体" w:cs="宋体"/>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olor w:val="000000"/>
          <w:kern w:val="0"/>
          <w:sz w:val="21"/>
          <w:szCs w:val="21"/>
          <w:lang w:eastAsia="zh-CN"/>
        </w:rPr>
      </w:pPr>
      <w:r>
        <w:rPr>
          <w:rFonts w:hint="eastAsia" w:ascii="黑体" w:hAnsi="黑体" w:eastAsia="黑体" w:cs="黑体"/>
          <w:b/>
          <w:bCs/>
          <w:color w:val="auto"/>
          <w:sz w:val="28"/>
          <w:szCs w:val="28"/>
          <w:lang w:val="en-US" w:eastAsia="zh-CN"/>
        </w:rPr>
        <w:t>七、结论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2" w:firstLineChars="0"/>
        <w:jc w:val="both"/>
        <w:textAlignment w:val="auto"/>
        <w:outlineLvl w:val="9"/>
        <w:rPr>
          <w:rFonts w:ascii="宋体" w:hAnsi="宋体"/>
          <w:color w:val="000000"/>
          <w:kern w:val="0"/>
          <w:sz w:val="21"/>
          <w:szCs w:val="21"/>
        </w:rPr>
      </w:pPr>
      <w:r>
        <w:rPr>
          <w:rFonts w:hint="eastAsia" w:ascii="宋体" w:hAnsi="宋体"/>
          <w:color w:val="000000"/>
          <w:kern w:val="0"/>
          <w:sz w:val="21"/>
          <w:szCs w:val="21"/>
          <w:lang w:eastAsia="zh-CN"/>
        </w:rPr>
        <w:t>银行</w:t>
      </w:r>
      <w:r>
        <w:rPr>
          <w:rFonts w:hint="eastAsia" w:ascii="宋体" w:hAnsi="宋体"/>
          <w:color w:val="000000"/>
          <w:kern w:val="0"/>
          <w:sz w:val="21"/>
          <w:szCs w:val="21"/>
          <w:lang w:val="en-US" w:eastAsia="zh-CN"/>
        </w:rPr>
        <w:t>ATM业务的会随着经济的发展而发展，其发展</w:t>
      </w:r>
      <w:r>
        <w:rPr>
          <w:rFonts w:hint="eastAsia" w:ascii="宋体" w:hAnsi="宋体"/>
          <w:color w:val="000000"/>
          <w:kern w:val="0"/>
          <w:sz w:val="21"/>
          <w:szCs w:val="21"/>
          <w:lang w:eastAsia="zh-CN"/>
        </w:rPr>
        <w:t>途中很多问题也会应运而生，而这些问题的出现，尤其是</w:t>
      </w:r>
      <w:r>
        <w:rPr>
          <w:rFonts w:hint="eastAsia" w:ascii="宋体" w:hAnsi="宋体"/>
          <w:color w:val="000000"/>
          <w:kern w:val="0"/>
          <w:sz w:val="21"/>
          <w:szCs w:val="21"/>
          <w:lang w:val="en-US" w:eastAsia="zh-CN"/>
        </w:rPr>
        <w:t>ATM故障，使人们在日常生活中出现诸如“疯狂的ATM机”。</w:t>
      </w:r>
      <w:r>
        <w:rPr>
          <w:rFonts w:hint="eastAsia" w:ascii="宋体" w:hAnsi="宋体"/>
          <w:color w:val="000000"/>
          <w:kern w:val="0"/>
          <w:sz w:val="21"/>
          <w:szCs w:val="21"/>
        </w:rPr>
        <w:t>通过本文分析，我得到了以下结论：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2" w:firstLineChars="0"/>
        <w:jc w:val="both"/>
        <w:textAlignment w:val="auto"/>
        <w:outlineLvl w:val="9"/>
        <w:rPr>
          <w:rFonts w:hint="eastAsia" w:ascii="宋体" w:hAnsi="宋体"/>
          <w:color w:val="000000"/>
          <w:kern w:val="0"/>
          <w:sz w:val="21"/>
          <w:szCs w:val="21"/>
          <w:lang w:val="en-US" w:eastAsia="zh-CN"/>
        </w:rPr>
      </w:pPr>
      <w:r>
        <w:rPr>
          <w:rFonts w:hint="eastAsia" w:ascii="宋体" w:hAnsi="宋体"/>
          <w:color w:val="000000"/>
          <w:kern w:val="0"/>
          <w:sz w:val="21"/>
          <w:szCs w:val="21"/>
        </w:rPr>
        <w:t>本文主要论证了</w:t>
      </w:r>
      <w:r>
        <w:rPr>
          <w:rFonts w:hint="eastAsia" w:ascii="宋体" w:hAnsi="宋体"/>
          <w:color w:val="000000"/>
          <w:kern w:val="0"/>
          <w:sz w:val="21"/>
          <w:szCs w:val="21"/>
          <w:lang w:val="en-US" w:eastAsia="zh-CN"/>
        </w:rPr>
        <w:t>ATM机故障中银行与客户的法律关系</w:t>
      </w:r>
      <w:r>
        <w:rPr>
          <w:rFonts w:hint="eastAsia" w:ascii="宋体" w:hAnsi="宋体"/>
          <w:color w:val="000000"/>
          <w:kern w:val="0"/>
          <w:sz w:val="21"/>
          <w:szCs w:val="21"/>
        </w:rPr>
        <w:t>，通过对</w:t>
      </w:r>
      <w:r>
        <w:rPr>
          <w:rFonts w:hint="eastAsia" w:ascii="宋体" w:hAnsi="宋体"/>
          <w:color w:val="000000"/>
          <w:kern w:val="0"/>
          <w:sz w:val="21"/>
          <w:szCs w:val="21"/>
          <w:lang w:val="en-US" w:eastAsia="zh-CN"/>
        </w:rPr>
        <w:t>ATM故障</w:t>
      </w:r>
      <w:r>
        <w:rPr>
          <w:rFonts w:hint="eastAsia" w:ascii="宋体" w:hAnsi="宋体"/>
          <w:color w:val="000000"/>
          <w:kern w:val="0"/>
          <w:sz w:val="21"/>
          <w:szCs w:val="21"/>
        </w:rPr>
        <w:t>概念及本质的解析</w:t>
      </w:r>
      <w:r>
        <w:rPr>
          <w:rFonts w:hint="eastAsia" w:ascii="宋体" w:hAnsi="宋体"/>
          <w:color w:val="000000"/>
          <w:kern w:val="0"/>
          <w:sz w:val="21"/>
          <w:szCs w:val="21"/>
          <w:lang w:eastAsia="zh-CN"/>
        </w:rPr>
        <w:t>确定了</w:t>
      </w:r>
      <w:r>
        <w:rPr>
          <w:rFonts w:hint="eastAsia" w:ascii="宋体" w:hAnsi="宋体"/>
          <w:color w:val="000000"/>
          <w:kern w:val="0"/>
          <w:sz w:val="21"/>
          <w:szCs w:val="21"/>
          <w:lang w:val="en-US" w:eastAsia="zh-CN"/>
        </w:rPr>
        <w:t>ATM是银行的代理人，在ATM业务中银行与客户的基本法律关系为债权债务关系。</w:t>
      </w:r>
      <w:r>
        <w:rPr>
          <w:rFonts w:hint="eastAsia" w:ascii="宋体" w:hAnsi="宋体"/>
          <w:color w:val="000000"/>
          <w:kern w:val="0"/>
          <w:sz w:val="21"/>
          <w:szCs w:val="21"/>
        </w:rPr>
        <w:t>并</w:t>
      </w:r>
      <w:r>
        <w:rPr>
          <w:rFonts w:hint="eastAsia" w:ascii="宋体" w:hAnsi="宋体"/>
          <w:color w:val="000000"/>
          <w:kern w:val="0"/>
          <w:sz w:val="21"/>
          <w:szCs w:val="21"/>
          <w:lang w:eastAsia="zh-CN"/>
        </w:rPr>
        <w:t>通过</w:t>
      </w:r>
      <w:r>
        <w:rPr>
          <w:rFonts w:hint="eastAsia" w:ascii="宋体" w:hAnsi="宋体"/>
          <w:color w:val="000000"/>
          <w:kern w:val="0"/>
          <w:sz w:val="21"/>
          <w:szCs w:val="21"/>
        </w:rPr>
        <w:t>国内外</w:t>
      </w:r>
      <w:r>
        <w:rPr>
          <w:rFonts w:hint="eastAsia" w:ascii="宋体" w:hAnsi="宋体"/>
          <w:color w:val="000000"/>
          <w:kern w:val="0"/>
          <w:sz w:val="21"/>
          <w:szCs w:val="21"/>
          <w:lang w:eastAsia="zh-CN"/>
        </w:rPr>
        <w:t>一条案例的对比，揭示了</w:t>
      </w:r>
      <w:r>
        <w:rPr>
          <w:rFonts w:hint="eastAsia" w:ascii="宋体" w:hAnsi="宋体"/>
          <w:color w:val="000000"/>
          <w:kern w:val="0"/>
          <w:sz w:val="21"/>
          <w:szCs w:val="21"/>
          <w:lang w:val="en-US" w:eastAsia="zh-CN"/>
        </w:rPr>
        <w:t>ATM故障中银行与客户所承担的法律责任的不同。通过解析日常生活中经常遇到的ATM故障案例，分析其法律定性和法律责任，在不同的ATM故障中，根据行为人主观意图的不同，其法律责任的分配也是不同的。以此，在文章的最后我提出了融洽银行与客户法律关系的几点建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2" w:firstLineChars="0"/>
        <w:jc w:val="both"/>
        <w:textAlignment w:val="auto"/>
        <w:outlineLvl w:val="9"/>
        <w:rPr>
          <w:rFonts w:hint="eastAsia" w:ascii="宋体" w:hAnsi="宋体"/>
          <w:color w:val="000000"/>
          <w:kern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Lines="50" w:line="240" w:lineRule="auto"/>
        <w:ind w:right="0" w:rightChars="0"/>
        <w:jc w:val="center"/>
        <w:textAlignment w:val="auto"/>
        <w:rPr>
          <w:rFonts w:hint="eastAsia" w:ascii="黑体" w:hAnsi="黑体" w:eastAsia="黑体" w:cs="黑体"/>
          <w:b/>
          <w:bCs/>
          <w:color w:val="auto"/>
          <w:sz w:val="21"/>
          <w:szCs w:val="21"/>
          <w:lang w:val="en-US" w:eastAsia="zh-CN"/>
        </w:rPr>
      </w:pPr>
      <w:bookmarkStart w:id="107" w:name="_Toc1123"/>
      <w:bookmarkStart w:id="108" w:name="_Toc29210"/>
      <w:bookmarkStart w:id="109" w:name="_Toc4820"/>
      <w:r>
        <w:rPr>
          <w:rFonts w:hint="eastAsia" w:ascii="黑体" w:hAnsi="黑体" w:eastAsia="黑体" w:cs="黑体"/>
          <w:b/>
          <w:bCs/>
          <w:color w:val="auto"/>
          <w:sz w:val="28"/>
          <w:szCs w:val="28"/>
          <w:lang w:eastAsia="zh-CN"/>
        </w:rPr>
        <w:t>参考文献</w:t>
      </w:r>
      <w:bookmarkEnd w:id="107"/>
      <w:bookmarkEnd w:id="108"/>
      <w:bookmarkEnd w:id="109"/>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hint="eastAsia" w:ascii="宋体" w:hAnsi="宋体" w:cs="宋体"/>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[1]</w:t>
      </w:r>
      <w:r>
        <w:rPr>
          <w:rFonts w:hint="eastAsia" w:cs="Times New Roman"/>
          <w:b w:val="0"/>
          <w:bCs w:val="0"/>
          <w:color w:val="auto"/>
          <w:sz w:val="21"/>
          <w:szCs w:val="21"/>
          <w:lang w:val="en-US" w:eastAsia="zh-CN"/>
        </w:rPr>
        <w:t xml:space="preserve"> </w:t>
      </w:r>
      <w:r>
        <w:rPr>
          <w:rFonts w:hint="eastAsia" w:ascii="宋体" w:hAnsi="宋体" w:cs="宋体"/>
          <w:b w:val="0"/>
          <w:bCs w:val="0"/>
          <w:color w:val="auto"/>
          <w:sz w:val="21"/>
          <w:szCs w:val="21"/>
          <w:lang w:val="en-US" w:eastAsia="zh-CN"/>
        </w:rPr>
        <w:t>蔡宁伟、李江鸿，中国商业银行ATM管理义务与责任的法律界定[J]，金融与法，2014(08).</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hint="eastAsia" w:ascii="宋体" w:hAnsi="宋体" w:cs="宋体"/>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[2]</w:t>
      </w:r>
      <w:r>
        <w:rPr>
          <w:rFonts w:hint="eastAsia" w:cs="Times New Roman"/>
          <w:b w:val="0"/>
          <w:bCs w:val="0"/>
          <w:color w:val="auto"/>
          <w:sz w:val="21"/>
          <w:szCs w:val="21"/>
          <w:lang w:val="en-US" w:eastAsia="zh-CN"/>
        </w:rPr>
        <w:t xml:space="preserve"> </w:t>
      </w:r>
      <w:r>
        <w:rPr>
          <w:rFonts w:hint="eastAsia" w:ascii="宋体" w:hAnsi="宋体" w:cs="宋体"/>
          <w:b w:val="0"/>
          <w:bCs w:val="0"/>
          <w:color w:val="auto"/>
          <w:sz w:val="21"/>
          <w:szCs w:val="21"/>
          <w:lang w:val="en-US" w:eastAsia="zh-CN"/>
        </w:rPr>
        <w:t>周盈作，ATM机多取款案例的合同法分析[J]，法制博览，2012(11).</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hint="eastAsia" w:ascii="宋体" w:hAnsi="宋体" w:cs="宋体"/>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[3]</w:t>
      </w:r>
      <w:r>
        <w:rPr>
          <w:rFonts w:hint="eastAsia" w:cs="Times New Roman"/>
          <w:b w:val="0"/>
          <w:bCs w:val="0"/>
          <w:color w:val="auto"/>
          <w:sz w:val="21"/>
          <w:szCs w:val="21"/>
          <w:lang w:val="en-US" w:eastAsia="zh-CN"/>
        </w:rPr>
        <w:t xml:space="preserve"> </w:t>
      </w:r>
      <w:r>
        <w:rPr>
          <w:rFonts w:hint="eastAsia" w:ascii="宋体" w:hAnsi="宋体" w:cs="宋体"/>
          <w:b w:val="0"/>
          <w:bCs w:val="0"/>
          <w:color w:val="auto"/>
          <w:sz w:val="21"/>
          <w:szCs w:val="21"/>
          <w:lang w:val="en-US" w:eastAsia="zh-CN"/>
        </w:rPr>
        <w:t>蔡宁伟，自动柜员机全生命周期分析[J].北京，金融论坛，2011，a（12）：113-121.</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hint="eastAsia" w:ascii="宋体" w:hAnsi="宋体" w:cs="宋体"/>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[5]</w:t>
      </w:r>
      <w:r>
        <w:rPr>
          <w:rFonts w:hint="eastAsia" w:cs="Times New Roman"/>
          <w:b w:val="0"/>
          <w:bCs w:val="0"/>
          <w:color w:val="auto"/>
          <w:sz w:val="21"/>
          <w:szCs w:val="21"/>
          <w:lang w:val="en-US" w:eastAsia="zh-CN"/>
        </w:rPr>
        <w:t xml:space="preserve"> </w:t>
      </w:r>
      <w:r>
        <w:rPr>
          <w:rFonts w:hint="eastAsia" w:ascii="宋体" w:hAnsi="宋体" w:cs="宋体"/>
          <w:b w:val="0"/>
          <w:bCs w:val="0"/>
          <w:color w:val="auto"/>
          <w:sz w:val="21"/>
          <w:szCs w:val="21"/>
          <w:lang w:val="en-US" w:eastAsia="zh-CN"/>
        </w:rPr>
        <w:t>杨克灿，竞争企稳，前景可观——2010年中国ATM市场发展述评[N]，金融时报，2011-04-11（5）.</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hint="eastAsia" w:ascii="宋体" w:hAnsi="宋体" w:cs="宋体"/>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[4]</w:t>
      </w:r>
      <w:r>
        <w:rPr>
          <w:rFonts w:hint="eastAsia" w:cs="Times New Roman"/>
          <w:b w:val="0"/>
          <w:bCs w:val="0"/>
          <w:color w:val="auto"/>
          <w:sz w:val="21"/>
          <w:szCs w:val="21"/>
          <w:lang w:val="en-US" w:eastAsia="zh-CN"/>
        </w:rPr>
        <w:t xml:space="preserve"> </w:t>
      </w:r>
      <w:r>
        <w:rPr>
          <w:rFonts w:hint="eastAsia" w:ascii="宋体" w:hAnsi="宋体" w:cs="宋体"/>
          <w:b w:val="0"/>
          <w:bCs w:val="0"/>
          <w:color w:val="auto"/>
          <w:sz w:val="21"/>
          <w:szCs w:val="21"/>
          <w:lang w:val="en-US" w:eastAsia="zh-CN"/>
        </w:rPr>
        <w:t>蔡宁伟，ATM客户关系和声誉管理的问题与对策[J]，中国金融电脑，2011，b（8）：67-69.</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hint="eastAsia" w:ascii="宋体" w:hAnsi="宋体" w:cs="宋体"/>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[5]</w:t>
      </w:r>
      <w:r>
        <w:rPr>
          <w:rFonts w:hint="eastAsia" w:cs="Times New Roman"/>
          <w:b w:val="0"/>
          <w:bCs w:val="0"/>
          <w:color w:val="auto"/>
          <w:sz w:val="21"/>
          <w:szCs w:val="21"/>
          <w:lang w:val="en-US" w:eastAsia="zh-CN"/>
        </w:rPr>
        <w:t xml:space="preserve"> </w:t>
      </w:r>
      <w:r>
        <w:rPr>
          <w:rFonts w:hint="eastAsia" w:ascii="宋体" w:hAnsi="宋体" w:cs="宋体"/>
          <w:b w:val="0"/>
          <w:bCs w:val="0"/>
          <w:color w:val="auto"/>
          <w:sz w:val="21"/>
          <w:szCs w:val="21"/>
          <w:lang w:val="en-US" w:eastAsia="zh-CN"/>
        </w:rPr>
        <w:t>徐国才，ATM服务存在的主要问题及政策建议，HEILONGJIANG FINANCE 2009(02).</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hint="eastAsia" w:ascii="宋体" w:hAnsi="宋体" w:cs="宋体"/>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[6]</w:t>
      </w:r>
      <w:r>
        <w:rPr>
          <w:rFonts w:hint="eastAsia" w:cs="Times New Roman"/>
          <w:b w:val="0"/>
          <w:bCs w:val="0"/>
          <w:color w:val="auto"/>
          <w:sz w:val="21"/>
          <w:szCs w:val="21"/>
          <w:lang w:val="en-US" w:eastAsia="zh-CN"/>
        </w:rPr>
        <w:t xml:space="preserve"> </w:t>
      </w:r>
      <w:r>
        <w:rPr>
          <w:rFonts w:hint="eastAsia" w:ascii="宋体" w:hAnsi="宋体" w:cs="宋体"/>
          <w:b w:val="0"/>
          <w:bCs w:val="0"/>
          <w:color w:val="auto"/>
          <w:sz w:val="21"/>
          <w:szCs w:val="21"/>
          <w:lang w:val="en-US" w:eastAsia="zh-CN"/>
        </w:rPr>
        <w:t>刘颖，电子资金划拨法律问题研究[M]，北京:法律出版社 2011: 85-109.</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hint="eastAsia" w:ascii="宋体" w:hAnsi="宋体" w:cs="宋体"/>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[7]</w:t>
      </w:r>
      <w:r>
        <w:rPr>
          <w:rFonts w:hint="eastAsia" w:cs="Times New Roman"/>
          <w:b w:val="0"/>
          <w:bCs w:val="0"/>
          <w:color w:val="auto"/>
          <w:sz w:val="21"/>
          <w:szCs w:val="21"/>
          <w:lang w:val="en-US" w:eastAsia="zh-CN"/>
        </w:rPr>
        <w:t xml:space="preserve"> </w:t>
      </w:r>
      <w:r>
        <w:rPr>
          <w:rFonts w:hint="eastAsia" w:ascii="宋体" w:hAnsi="宋体" w:cs="宋体"/>
          <w:b w:val="0"/>
          <w:bCs w:val="0"/>
          <w:color w:val="auto"/>
          <w:sz w:val="21"/>
          <w:szCs w:val="21"/>
          <w:lang w:val="en-US" w:eastAsia="zh-CN"/>
        </w:rPr>
        <w:t>赵蕾，许霆案成大悬案全民投入辩辩辩N.载《南方周末》2008 年2月28日，A6版.</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hint="eastAsia" w:ascii="宋体" w:hAnsi="宋体" w:cs="宋体"/>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[8]</w:t>
      </w:r>
      <w:r>
        <w:rPr>
          <w:rFonts w:hint="eastAsia" w:cs="Times New Roman"/>
          <w:b w:val="0"/>
          <w:bCs w:val="0"/>
          <w:color w:val="auto"/>
          <w:sz w:val="21"/>
          <w:szCs w:val="21"/>
          <w:lang w:val="en-US" w:eastAsia="zh-CN"/>
        </w:rPr>
        <w:t xml:space="preserve"> </w:t>
      </w:r>
      <w:r>
        <w:rPr>
          <w:rFonts w:hint="eastAsia" w:ascii="宋体" w:hAnsi="宋体" w:cs="宋体"/>
          <w:b w:val="0"/>
          <w:bCs w:val="0"/>
          <w:color w:val="auto"/>
          <w:sz w:val="21"/>
          <w:szCs w:val="21"/>
          <w:lang w:val="en-US" w:eastAsia="zh-CN"/>
        </w:rPr>
        <w:t>董玉庭，ATM 机上非正常取款行为的刑法学分析N，载《人民检察》2008年第5期，第55页.</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hint="eastAsia" w:ascii="宋体" w:hAnsi="宋体" w:cs="宋体"/>
          <w:b w:val="0"/>
          <w:bCs w:val="0"/>
          <w:color w:val="auto"/>
          <w:sz w:val="21"/>
          <w:szCs w:val="21"/>
          <w:lang w:val="en-US" w:eastAsia="zh-CN"/>
        </w:rPr>
      </w:pPr>
      <w:r>
        <w:rPr>
          <w:rFonts w:hint="default" w:ascii="Times New Roman" w:hAnsi="Times New Roman" w:cs="Times New Roman"/>
          <w:b w:val="0"/>
          <w:bCs w:val="0"/>
          <w:color w:val="auto"/>
          <w:sz w:val="21"/>
          <w:szCs w:val="21"/>
          <w:lang w:val="en-US" w:eastAsia="zh-CN"/>
        </w:rPr>
        <w:t>[9]</w:t>
      </w:r>
      <w:r>
        <w:rPr>
          <w:rFonts w:hint="eastAsia" w:cs="Times New Roman"/>
          <w:b w:val="0"/>
          <w:bCs w:val="0"/>
          <w:color w:val="auto"/>
          <w:sz w:val="21"/>
          <w:szCs w:val="21"/>
          <w:lang w:val="en-US" w:eastAsia="zh-CN"/>
        </w:rPr>
        <w:t xml:space="preserve"> </w:t>
      </w:r>
      <w:r>
        <w:rPr>
          <w:rFonts w:hint="eastAsia" w:ascii="宋体" w:hAnsi="宋体" w:cs="宋体"/>
          <w:b w:val="0"/>
          <w:bCs w:val="0"/>
          <w:color w:val="auto"/>
          <w:sz w:val="21"/>
          <w:szCs w:val="21"/>
          <w:lang w:val="en-US" w:eastAsia="zh-CN"/>
        </w:rPr>
        <w:t>齐文远、魏汉涛，论被害人过错影响定罪量刑的根据N，载《西南政法大学学报》2008 年第 1 期.</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hint="eastAsia" w:ascii="宋体" w:hAnsi="宋体" w:cs="宋体"/>
          <w:b w:val="0"/>
          <w:bCs w:val="0"/>
          <w:color w:val="auto"/>
          <w:sz w:val="24"/>
          <w:szCs w:val="24"/>
          <w:lang w:val="en-US" w:eastAsia="zh-CN"/>
        </w:rPr>
      </w:pPr>
      <w:r>
        <w:rPr>
          <w:rFonts w:hint="default" w:ascii="Times New Roman" w:hAnsi="Times New Roman" w:cs="Times New Roman"/>
          <w:b w:val="0"/>
          <w:bCs w:val="0"/>
          <w:color w:val="auto"/>
          <w:sz w:val="21"/>
          <w:szCs w:val="21"/>
          <w:lang w:val="en-US" w:eastAsia="zh-CN"/>
        </w:rPr>
        <w:t>[10]</w:t>
      </w:r>
      <w:r>
        <w:rPr>
          <w:rFonts w:hint="eastAsia" w:cs="Times New Roman"/>
          <w:b w:val="0"/>
          <w:bCs w:val="0"/>
          <w:color w:val="auto"/>
          <w:sz w:val="21"/>
          <w:szCs w:val="21"/>
          <w:lang w:val="en-US" w:eastAsia="zh-CN"/>
        </w:rPr>
        <w:t xml:space="preserve"> </w:t>
      </w:r>
      <w:r>
        <w:rPr>
          <w:rFonts w:hint="eastAsia" w:ascii="宋体" w:hAnsi="宋体" w:cs="宋体"/>
          <w:b w:val="0"/>
          <w:bCs w:val="0"/>
          <w:color w:val="auto"/>
          <w:sz w:val="21"/>
          <w:szCs w:val="21"/>
          <w:lang w:val="en-US" w:eastAsia="zh-CN"/>
        </w:rPr>
        <w:t xml:space="preserve">吴志攀，金融法概论[M]（第五版），北京大学出版社. </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hint="default" w:ascii="Times New Roman" w:hAnsi="Times New Roman"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[11]</w:t>
      </w:r>
      <w:r>
        <w:rPr>
          <w:rFonts w:hint="eastAsia" w:cs="Times New Roman"/>
          <w:b w:val="0"/>
          <w:bCs w:val="0"/>
          <w:color w:val="auto"/>
          <w:sz w:val="21"/>
          <w:szCs w:val="21"/>
          <w:lang w:val="en-US" w:eastAsia="zh-CN"/>
        </w:rPr>
        <w:t xml:space="preserve"> </w:t>
      </w:r>
      <w:r>
        <w:rPr>
          <w:rFonts w:hint="default" w:ascii="Times New Roman" w:hAnsi="Times New Roman" w:cs="Times New Roman"/>
          <w:b w:val="0"/>
          <w:bCs w:val="0"/>
          <w:color w:val="auto"/>
          <w:sz w:val="21"/>
          <w:szCs w:val="21"/>
          <w:lang w:val="en-US" w:eastAsia="zh-CN"/>
        </w:rPr>
        <w:t>E.P.Ellinger.E.Lomincka.R.J.A.G.</w:t>
      </w:r>
      <w:r>
        <w:rPr>
          <w:rFonts w:hint="default" w:ascii="Times New Roman" w:hAnsi="Times New Roman" w:cs="Times New Roman"/>
          <w:b w:val="0"/>
          <w:bCs w:val="0"/>
          <w:i/>
          <w:iCs/>
          <w:color w:val="auto"/>
          <w:sz w:val="21"/>
          <w:szCs w:val="21"/>
          <w:lang w:val="en-US" w:eastAsia="zh-CN"/>
        </w:rPr>
        <w:t>Hooley.</w:t>
      </w:r>
      <w:r>
        <w:rPr>
          <w:rFonts w:hint="eastAsia" w:cs="Times New Roman"/>
          <w:b w:val="0"/>
          <w:bCs w:val="0"/>
          <w:i/>
          <w:iCs/>
          <w:color w:val="auto"/>
          <w:sz w:val="21"/>
          <w:szCs w:val="21"/>
          <w:lang w:val="en-US" w:eastAsia="zh-CN"/>
        </w:rPr>
        <w:t xml:space="preserve"> </w:t>
      </w:r>
      <w:r>
        <w:rPr>
          <w:rFonts w:hint="default" w:ascii="Times New Roman" w:hAnsi="Times New Roman" w:cs="Times New Roman"/>
          <w:b w:val="0"/>
          <w:bCs w:val="0"/>
          <w:i/>
          <w:iCs/>
          <w:color w:val="auto"/>
          <w:sz w:val="21"/>
          <w:szCs w:val="21"/>
          <w:lang w:val="en-US" w:eastAsia="zh-CN"/>
        </w:rPr>
        <w:t>Modern</w:t>
      </w:r>
      <w:r>
        <w:rPr>
          <w:rFonts w:hint="eastAsia" w:cs="Times New Roman"/>
          <w:b w:val="0"/>
          <w:bCs w:val="0"/>
          <w:i/>
          <w:iCs/>
          <w:color w:val="auto"/>
          <w:sz w:val="21"/>
          <w:szCs w:val="21"/>
          <w:lang w:val="en-US" w:eastAsia="zh-CN"/>
        </w:rPr>
        <w:t xml:space="preserve"> </w:t>
      </w:r>
      <w:r>
        <w:rPr>
          <w:rFonts w:hint="default" w:ascii="Times New Roman" w:hAnsi="Times New Roman" w:cs="Times New Roman"/>
          <w:b w:val="0"/>
          <w:bCs w:val="0"/>
          <w:i/>
          <w:iCs/>
          <w:color w:val="auto"/>
          <w:sz w:val="21"/>
          <w:szCs w:val="21"/>
          <w:lang w:val="en-US" w:eastAsia="zh-CN"/>
        </w:rPr>
        <w:t>Banking</w:t>
      </w:r>
      <w:r>
        <w:rPr>
          <w:rFonts w:hint="eastAsia" w:cs="Times New Roman"/>
          <w:b w:val="0"/>
          <w:bCs w:val="0"/>
          <w:i/>
          <w:iCs/>
          <w:color w:val="auto"/>
          <w:sz w:val="21"/>
          <w:szCs w:val="21"/>
          <w:lang w:val="en-US" w:eastAsia="zh-CN"/>
        </w:rPr>
        <w:t xml:space="preserve"> </w:t>
      </w:r>
      <w:r>
        <w:rPr>
          <w:rFonts w:hint="default" w:ascii="Times New Roman" w:hAnsi="Times New Roman" w:cs="Times New Roman"/>
          <w:b w:val="0"/>
          <w:bCs w:val="0"/>
          <w:i/>
          <w:iCs/>
          <w:color w:val="auto"/>
          <w:sz w:val="21"/>
          <w:szCs w:val="21"/>
          <w:lang w:val="en-US" w:eastAsia="zh-CN"/>
        </w:rPr>
        <w:t>Law</w:t>
      </w:r>
      <w:r>
        <w:rPr>
          <w:rFonts w:hint="default" w:ascii="Times New Roman" w:hAnsi="Times New Roman" w:cs="Times New Roman"/>
          <w:b w:val="0"/>
          <w:bCs w:val="0"/>
          <w:color w:val="auto"/>
          <w:sz w:val="21"/>
          <w:szCs w:val="21"/>
          <w:lang w:val="en-US" w:eastAsia="zh-CN"/>
        </w:rPr>
        <w:t>[M].</w:t>
      </w:r>
      <w:r>
        <w:rPr>
          <w:rFonts w:hint="eastAsia" w:cs="Times New Roman"/>
          <w:b w:val="0"/>
          <w:bCs w:val="0"/>
          <w:color w:val="auto"/>
          <w:sz w:val="21"/>
          <w:szCs w:val="21"/>
          <w:lang w:val="en-US" w:eastAsia="zh-CN"/>
        </w:rPr>
        <w:t xml:space="preserve"> </w:t>
      </w:r>
      <w:r>
        <w:rPr>
          <w:rFonts w:hint="default" w:ascii="Times New Roman" w:hAnsi="Times New Roman" w:cs="Times New Roman"/>
          <w:b w:val="0"/>
          <w:bCs w:val="0"/>
          <w:color w:val="auto"/>
          <w:sz w:val="21"/>
          <w:szCs w:val="21"/>
          <w:lang w:val="en-US" w:eastAsia="zh-CN"/>
        </w:rPr>
        <w:t>Oxford</w:t>
      </w:r>
      <w:r>
        <w:rPr>
          <w:rFonts w:hint="eastAsia" w:cs="Times New Roman"/>
          <w:b w:val="0"/>
          <w:bCs w:val="0"/>
          <w:color w:val="auto"/>
          <w:sz w:val="21"/>
          <w:szCs w:val="21"/>
          <w:lang w:val="en-US" w:eastAsia="zh-CN"/>
        </w:rPr>
        <w:t xml:space="preserve"> </w:t>
      </w:r>
      <w:r>
        <w:rPr>
          <w:rFonts w:hint="default" w:ascii="Times New Roman" w:hAnsi="Times New Roman" w:cs="Times New Roman"/>
          <w:b w:val="0"/>
          <w:bCs w:val="0"/>
          <w:color w:val="auto"/>
          <w:sz w:val="21"/>
          <w:szCs w:val="21"/>
          <w:lang w:val="en-US" w:eastAsia="zh-CN"/>
        </w:rPr>
        <w:t>University Press,2013:185-186</w:t>
      </w:r>
      <w:r>
        <w:rPr>
          <w:rFonts w:hint="eastAsia" w:cs="Times New Roman"/>
          <w:b w:val="0"/>
          <w:bCs w:val="0"/>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hint="default" w:ascii="Times New Roman" w:hAnsi="Times New Roman"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[12]</w:t>
      </w:r>
      <w:r>
        <w:rPr>
          <w:rFonts w:hint="eastAsia" w:cs="Times New Roman"/>
          <w:b w:val="0"/>
          <w:bCs w:val="0"/>
          <w:color w:val="auto"/>
          <w:sz w:val="21"/>
          <w:szCs w:val="21"/>
          <w:lang w:val="en-US" w:eastAsia="zh-CN"/>
        </w:rPr>
        <w:t xml:space="preserve"> </w:t>
      </w:r>
      <w:r>
        <w:rPr>
          <w:rFonts w:hint="default" w:ascii="Times New Roman" w:hAnsi="Times New Roman" w:cs="Times New Roman"/>
          <w:b w:val="0"/>
          <w:bCs w:val="0"/>
          <w:color w:val="auto"/>
          <w:sz w:val="21"/>
          <w:szCs w:val="21"/>
          <w:lang w:val="en-US" w:eastAsia="zh-CN"/>
        </w:rPr>
        <w:t>A Schellong.CRM in the Public Sector:Towards a Conceptual Research Framework [C].ACM International Conference Proceeding Series:Proceedings of the 2005 Nation Conference on.Digital Government Research,2005:326-332.</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hint="default" w:ascii="Times New Roman" w:hAnsi="Times New Roman" w:cs="Times New Roman"/>
          <w:b w:val="0"/>
          <w:bCs w:val="0"/>
          <w:color w:val="auto"/>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hint="eastAsia" w:ascii="Times New Roman" w:hAnsi="Times New Roman" w:cs="Times New Roman"/>
          <w:b w:val="0"/>
          <w:bCs w:val="0"/>
          <w:color w:val="auto"/>
          <w:sz w:val="21"/>
          <w:szCs w:val="21"/>
          <w:lang w:val="en-US" w:eastAsia="zh-CN"/>
        </w:rPr>
      </w:pPr>
    </w:p>
    <w:bookmarkEnd w:id="106"/>
    <w:p>
      <w:pPr>
        <w:keepNext w:val="0"/>
        <w:keepLines w:val="0"/>
        <w:pageBreakBefore w:val="0"/>
        <w:widowControl w:val="0"/>
        <w:tabs>
          <w:tab w:val="left" w:pos="720"/>
        </w:tabs>
        <w:kinsoku/>
        <w:wordWrap/>
        <w:overflowPunct/>
        <w:topLinePunct w:val="0"/>
        <w:autoSpaceDE/>
        <w:autoSpaceDN/>
        <w:bidi w:val="0"/>
        <w:adjustRightInd/>
        <w:snapToGrid/>
        <w:spacing w:beforeLines="100" w:afterLines="100" w:line="240" w:lineRule="auto"/>
        <w:ind w:right="0" w:rightChars="0"/>
        <w:jc w:val="center"/>
        <w:textAlignment w:val="auto"/>
        <w:outlineLvl w:val="9"/>
        <w:rPr>
          <w:rFonts w:hint="eastAsia" w:ascii="宋体" w:hAnsi="宋体" w:eastAsia="宋体" w:cs="宋体"/>
          <w:b w:val="0"/>
          <w:bCs w:val="0"/>
          <w:color w:val="auto"/>
          <w:kern w:val="2"/>
          <w:sz w:val="24"/>
          <w:szCs w:val="24"/>
          <w:lang w:val="en-US" w:eastAsia="zh-CN" w:bidi="ar-SA"/>
        </w:rPr>
      </w:pPr>
      <w:r>
        <w:rPr>
          <w:rFonts w:hint="default" w:ascii="Times New Roman" w:hAnsi="Times New Roman" w:eastAsia="宋体" w:cs="Times New Roman"/>
          <w:b w:val="0"/>
          <w:bCs w:val="0"/>
          <w:color w:val="auto"/>
          <w:sz w:val="24"/>
          <w:szCs w:val="24"/>
          <w:lang w:val="en-US" w:eastAsia="zh-CN"/>
        </w:rPr>
        <w:t xml:space="preserve">The research of The Bank and the customer </w:t>
      </w:r>
      <w:r>
        <w:rPr>
          <w:rFonts w:hint="default" w:ascii="Times New Roman" w:hAnsi="Times New Roman" w:eastAsia="宋体" w:cs="Times New Roman"/>
          <w:b w:val="0"/>
          <w:bCs w:val="0"/>
          <w:color w:val="auto"/>
          <w:sz w:val="24"/>
          <w:szCs w:val="24"/>
        </w:rPr>
        <w:t>Legal relationship</w:t>
      </w:r>
      <w:r>
        <w:rPr>
          <w:rFonts w:hint="default" w:ascii="Times New Roman" w:hAnsi="Times New Roman" w:eastAsia="宋体" w:cs="Times New Roman"/>
          <w:b w:val="0"/>
          <w:bCs w:val="0"/>
          <w:color w:val="auto"/>
          <w:sz w:val="24"/>
          <w:szCs w:val="24"/>
          <w:lang w:val="en-US" w:eastAsia="zh-CN"/>
        </w:rPr>
        <w:t xml:space="preserve"> in </w:t>
      </w:r>
      <w:r>
        <w:rPr>
          <w:rFonts w:hint="default" w:ascii="Times New Roman" w:hAnsi="Times New Roman" w:eastAsia="宋体" w:cs="Times New Roman"/>
          <w:b w:val="0"/>
          <w:bCs w:val="0"/>
          <w:color w:val="auto"/>
          <w:sz w:val="24"/>
          <w:szCs w:val="24"/>
        </w:rPr>
        <w:t>ATM malfunction</w:t>
      </w:r>
    </w:p>
    <w:p>
      <w:pPr>
        <w:keepNext w:val="0"/>
        <w:keepLines w:val="0"/>
        <w:pageBreakBefore w:val="0"/>
        <w:widowControl w:val="0"/>
        <w:kinsoku/>
        <w:wordWrap/>
        <w:overflowPunct/>
        <w:topLinePunct w:val="0"/>
        <w:autoSpaceDE/>
        <w:autoSpaceDN/>
        <w:bidi w:val="0"/>
        <w:adjustRightInd/>
        <w:snapToGrid/>
        <w:spacing w:line="288" w:lineRule="auto"/>
        <w:ind w:right="0" w:rightChars="0"/>
        <w:textAlignment w:val="auto"/>
        <w:outlineLvl w:val="9"/>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bCs/>
          <w:color w:val="auto"/>
          <w:sz w:val="20"/>
          <w:szCs w:val="20"/>
        </w:rPr>
        <w:t>Abstract:</w:t>
      </w:r>
      <w:r>
        <w:rPr>
          <w:rFonts w:hint="default" w:ascii="Times New Roman" w:hAnsi="Times New Roman" w:eastAsia="宋体" w:cs="Times New Roman"/>
          <w:b w:val="0"/>
          <w:bCs w:val="0"/>
          <w:color w:val="auto"/>
          <w:sz w:val="21"/>
          <w:szCs w:val="21"/>
        </w:rPr>
        <w:t>With China's financial electronic reform thorough, automatic teller machines (hereinafter referred to as ATM) transaction as representative of self-service trade gradually become the mainstream of modern commercial bank for the customer service channel. Since 1986, the bank of China zhuhai branch for the first time the introduction of ATM, and in February 1987 formally put into use, ATM use nearly 30 years of China, bank ATM different machine also because of its convenient and become one of the main means of people use of bank CARDS, such as China ATM self-service equipment developing rapidly. ATM machine at the same time of bring to people's life more convenient and quick, also can produce and accompanied by a new social problems and phenomena. Which significantly after new question is \"ATM\" fault caused by damage and liability shall be borne by the who? Using ATM's failure to implement behavior must constitute a crime?</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This paper mainly discusses the ATM of the bank and the client's new trading platform, their respective rights and obligations; After analysis of ATM machine malfunction caused by actions and results.</w:t>
      </w:r>
    </w:p>
    <w:p>
      <w:pPr>
        <w:keepNext w:val="0"/>
        <w:keepLines w:val="0"/>
        <w:pageBreakBefore w:val="0"/>
        <w:widowControl w:val="0"/>
        <w:kinsoku/>
        <w:wordWrap/>
        <w:overflowPunct/>
        <w:topLinePunct w:val="0"/>
        <w:autoSpaceDE/>
        <w:autoSpaceDN/>
        <w:bidi w:val="0"/>
        <w:adjustRightInd/>
        <w:snapToGrid/>
        <w:spacing w:line="288" w:lineRule="auto"/>
        <w:ind w:right="0" w:rightChars="0"/>
        <w:textAlignment w:val="auto"/>
        <w:outlineLvl w:val="9"/>
        <w:rPr>
          <w:rFonts w:hint="default" w:ascii="Times New Roman" w:hAnsi="Times New Roman" w:eastAsia="宋体" w:cs="Times New Roman"/>
          <w:b w:val="0"/>
          <w:bCs w:val="0"/>
          <w:i w:val="0"/>
          <w:caps w:val="0"/>
          <w:color w:val="auto"/>
          <w:spacing w:val="0"/>
          <w:sz w:val="21"/>
          <w:szCs w:val="21"/>
          <w:shd w:val="clear" w:color="auto" w:fill="FAFAFA"/>
        </w:rPr>
      </w:pPr>
      <w:r>
        <w:rPr>
          <w:rFonts w:hint="eastAsia" w:ascii="Times New Roman" w:hAnsi="Times New Roman" w:cs="Times New Roman"/>
          <w:b/>
          <w:bCs/>
          <w:color w:val="auto"/>
          <w:sz w:val="20"/>
          <w:szCs w:val="20"/>
          <w:lang w:val="en-US" w:eastAsia="zh-CN"/>
        </w:rPr>
        <w:t>K</w:t>
      </w:r>
      <w:r>
        <w:rPr>
          <w:rFonts w:hint="default" w:ascii="Times New Roman" w:hAnsi="Times New Roman" w:eastAsia="宋体" w:cs="Times New Roman"/>
          <w:b/>
          <w:bCs/>
          <w:color w:val="auto"/>
          <w:sz w:val="20"/>
          <w:szCs w:val="20"/>
        </w:rPr>
        <w:t>ey words:</w:t>
      </w:r>
      <w:r>
        <w:rPr>
          <w:rFonts w:hint="default" w:ascii="Times New Roman" w:hAnsi="Times New Roman" w:eastAsia="宋体" w:cs="Times New Roman"/>
          <w:b w:val="0"/>
          <w:bCs w:val="0"/>
          <w:color w:val="auto"/>
          <w:sz w:val="21"/>
          <w:szCs w:val="21"/>
        </w:rPr>
        <w:t>ATM malfunction</w:t>
      </w:r>
      <w:r>
        <w:rPr>
          <w:rFonts w:hint="default" w:ascii="Times New Roman" w:hAnsi="Times New Roman" w:eastAsia="宋体" w:cs="Times New Roman"/>
          <w:b w:val="0"/>
          <w:bCs w:val="0"/>
          <w:color w:val="auto"/>
          <w:sz w:val="21"/>
          <w:szCs w:val="21"/>
          <w:lang w:val="en-US" w:eastAsia="zh-CN"/>
        </w:rPr>
        <w:t xml:space="preserve">  The Bank and the customer </w:t>
      </w:r>
      <w:r>
        <w:rPr>
          <w:rFonts w:hint="eastAsia" w:ascii="Times New Roman" w:hAnsi="Times New Roman" w:eastAsia="宋体" w:cs="Times New Roman"/>
          <w:b w:val="0"/>
          <w:bCs w:val="0"/>
          <w:color w:val="auto"/>
          <w:sz w:val="21"/>
          <w:szCs w:val="21"/>
          <w:lang w:val="en-US" w:eastAsia="zh-CN"/>
        </w:rPr>
        <w:t xml:space="preserve"> </w:t>
      </w:r>
      <w:r>
        <w:rPr>
          <w:rFonts w:hint="default" w:ascii="Times New Roman" w:hAnsi="Times New Roman" w:eastAsia="宋体" w:cs="Times New Roman"/>
          <w:b w:val="0"/>
          <w:bCs w:val="0"/>
          <w:color w:val="auto"/>
          <w:sz w:val="21"/>
          <w:szCs w:val="21"/>
          <w:lang w:val="en-US" w:eastAsia="zh-CN"/>
        </w:rPr>
        <w:t>Legal relationship Rights and obligations   legal responsibility</w:t>
      </w:r>
    </w:p>
    <w:p>
      <w:pPr>
        <w:keepNext w:val="0"/>
        <w:keepLines w:val="0"/>
        <w:pageBreakBefore w:val="0"/>
        <w:widowControl w:val="0"/>
        <w:kinsoku/>
        <w:wordWrap/>
        <w:overflowPunct/>
        <w:topLinePunct w:val="0"/>
        <w:autoSpaceDE/>
        <w:autoSpaceDN/>
        <w:bidi w:val="0"/>
        <w:adjustRightInd/>
        <w:snapToGrid/>
        <w:spacing w:line="288" w:lineRule="auto"/>
        <w:ind w:right="0" w:rightChars="0"/>
        <w:textAlignment w:val="auto"/>
        <w:outlineLvl w:val="9"/>
        <w:rPr>
          <w:rFonts w:hint="default" w:ascii="Times New Roman" w:hAnsi="Times New Roman" w:eastAsia="宋体" w:cs="Times New Roman"/>
          <w:b w:val="0"/>
          <w:bCs w:val="0"/>
          <w:i w:val="0"/>
          <w:caps w:val="0"/>
          <w:color w:val="auto"/>
          <w:spacing w:val="0"/>
          <w:sz w:val="21"/>
          <w:szCs w:val="21"/>
          <w:shd w:val="clear" w:color="auto" w:fill="FAFAFA"/>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imes New Roman" w:hAnsi="Times New Roman" w:eastAsia="宋体" w:cs="Times New Roman"/>
          <w:b w:val="0"/>
          <w:bCs w:val="0"/>
          <w:i w:val="0"/>
          <w:caps w:val="0"/>
          <w:color w:val="auto"/>
          <w:spacing w:val="0"/>
          <w:sz w:val="21"/>
          <w:szCs w:val="21"/>
          <w:shd w:val="clear" w:color="auto" w:fill="FAFAFA"/>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Times New Roman" w:hAnsi="Times New Roman" w:eastAsia="宋体" w:cs="Times New Roman"/>
          <w:b w:val="0"/>
          <w:bCs w:val="0"/>
          <w:i w:val="0"/>
          <w:caps w:val="0"/>
          <w:color w:val="auto"/>
          <w:spacing w:val="0"/>
          <w:sz w:val="21"/>
          <w:szCs w:val="21"/>
          <w:shd w:val="clear" w:color="auto" w:fill="FAFAFA"/>
          <w:lang w:eastAsia="zh-CN"/>
        </w:rPr>
      </w:pPr>
      <w:r>
        <w:rPr>
          <w:rFonts w:hint="eastAsia" w:cs="Times New Roman"/>
          <w:sz w:val="21"/>
          <w:szCs w:val="21"/>
          <w:lang w:val="en-US" w:eastAsia="zh-CN"/>
        </w:rPr>
        <w:t xml:space="preserve">                                                             </w:t>
      </w:r>
      <w:r>
        <w:rPr>
          <w:rFonts w:hint="eastAsia" w:ascii="Times New Roman" w:hAnsi="Times New Roman" w:cs="Times New Roman"/>
          <w:sz w:val="21"/>
          <w:szCs w:val="21"/>
          <w:lang w:val="en-US" w:eastAsia="zh-CN"/>
        </w:rPr>
        <w:t>（责任编辑：</w:t>
      </w:r>
      <w:r>
        <w:rPr>
          <w:rFonts w:hint="eastAsia" w:cs="Times New Roman"/>
          <w:sz w:val="21"/>
          <w:szCs w:val="21"/>
          <w:lang w:val="en-US" w:eastAsia="zh-CN"/>
        </w:rPr>
        <w:t>孙盼盼</w:t>
      </w:r>
      <w:r>
        <w:rPr>
          <w:rFonts w:hint="eastAsia" w:ascii="Times New Roman" w:hAnsi="Times New Roman" w:cs="Times New Roman"/>
          <w:sz w:val="21"/>
          <w:szCs w:val="21"/>
          <w:lang w:val="en-US" w:eastAsia="zh-CN"/>
        </w:rPr>
        <w:t>）</w:t>
      </w: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bCs/>
          <w:color w:val="000000"/>
          <w:sz w:val="32"/>
          <w:szCs w:val="32"/>
        </w:rPr>
      </w:pP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bCs/>
          <w:color w:val="000000"/>
          <w:sz w:val="32"/>
          <w:szCs w:val="32"/>
        </w:rPr>
      </w:pP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bCs/>
          <w:color w:val="000000"/>
          <w:sz w:val="32"/>
          <w:szCs w:val="32"/>
        </w:rPr>
      </w:pP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bCs/>
          <w:color w:val="000000"/>
          <w:sz w:val="32"/>
          <w:szCs w:val="32"/>
        </w:rPr>
      </w:pP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bCs/>
          <w:color w:val="000000"/>
          <w:sz w:val="32"/>
          <w:szCs w:val="32"/>
        </w:rPr>
      </w:pP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bCs/>
          <w:color w:val="000000"/>
          <w:sz w:val="32"/>
          <w:szCs w:val="32"/>
        </w:rPr>
      </w:pP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bCs/>
          <w:color w:val="000000"/>
          <w:sz w:val="32"/>
          <w:szCs w:val="32"/>
        </w:rPr>
      </w:pP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bCs/>
          <w:color w:val="000000"/>
          <w:sz w:val="32"/>
          <w:szCs w:val="32"/>
        </w:rPr>
      </w:pP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bCs/>
          <w:color w:val="000000"/>
          <w:sz w:val="32"/>
          <w:szCs w:val="32"/>
        </w:rPr>
      </w:pPr>
    </w:p>
    <w:p>
      <w:pPr>
        <w:keepNext w:val="0"/>
        <w:keepLines w:val="0"/>
        <w:pageBreakBefore w:val="0"/>
        <w:kinsoku/>
        <w:wordWrap/>
        <w:overflowPunct/>
        <w:topLinePunct w:val="0"/>
        <w:autoSpaceDE/>
        <w:autoSpaceDN/>
        <w:bidi w:val="0"/>
        <w:spacing w:line="240" w:lineRule="auto"/>
        <w:jc w:val="both"/>
        <w:textAlignment w:val="auto"/>
        <w:rPr>
          <w:rFonts w:hint="eastAsia" w:ascii="黑体" w:hAnsi="黑体" w:eastAsia="黑体" w:cs="黑体"/>
          <w:b/>
          <w:bCs/>
          <w:color w:val="000000"/>
          <w:sz w:val="32"/>
          <w:szCs w:val="32"/>
        </w:rPr>
      </w:pP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中介说视角下人类冷冻胚胎法律属性及行使规则</w:t>
      </w: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bCs/>
          <w:color w:val="000000"/>
          <w:sz w:val="21"/>
          <w:szCs w:val="21"/>
        </w:rPr>
      </w:pPr>
    </w:p>
    <w:p>
      <w:pPr>
        <w:keepNext w:val="0"/>
        <w:keepLines w:val="0"/>
        <w:pageBreakBefore w:val="0"/>
        <w:kinsoku/>
        <w:wordWrap/>
        <w:overflowPunct/>
        <w:topLinePunct w:val="0"/>
        <w:autoSpaceDE/>
        <w:autoSpaceDN/>
        <w:bidi w:val="0"/>
        <w:spacing w:line="240" w:lineRule="auto"/>
        <w:jc w:val="center"/>
        <w:textAlignment w:val="auto"/>
        <w:rPr>
          <w:rFonts w:ascii="Times New Roman" w:hAnsi="Times New Roman"/>
          <w:color w:val="000000"/>
          <w:szCs w:val="21"/>
        </w:rPr>
      </w:pPr>
      <w:r>
        <w:rPr>
          <w:rFonts w:hint="eastAsia" w:ascii="Times New Roman" w:hAnsi="Times New Roman"/>
          <w:color w:val="000000"/>
          <w:szCs w:val="21"/>
        </w:rPr>
        <w:t>薛条英</w:t>
      </w:r>
      <w:r>
        <w:rPr>
          <w:rFonts w:ascii="Times New Roman" w:hAnsi="Times New Roman"/>
          <w:color w:val="000000"/>
          <w:szCs w:val="21"/>
          <w:vertAlign w:val="superscript"/>
        </w:rPr>
        <w:t>*</w:t>
      </w:r>
    </w:p>
    <w:p>
      <w:pPr>
        <w:keepNext w:val="0"/>
        <w:keepLines w:val="0"/>
        <w:pageBreakBefore w:val="0"/>
        <w:kinsoku/>
        <w:wordWrap/>
        <w:overflowPunct/>
        <w:topLinePunct w:val="0"/>
        <w:autoSpaceDE/>
        <w:autoSpaceDN/>
        <w:bidi w:val="0"/>
        <w:spacing w:line="240" w:lineRule="auto"/>
        <w:jc w:val="left"/>
        <w:textAlignment w:val="auto"/>
        <w:rPr>
          <w:rFonts w:ascii="宋体" w:cs="楷体"/>
          <w:b/>
          <w:bCs/>
          <w:color w:val="000000"/>
          <w:sz w:val="21"/>
          <w:szCs w:val="21"/>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ascii="楷体" w:hAnsi="楷体" w:eastAsia="楷体" w:cs="楷体"/>
          <w:color w:val="000000"/>
          <w:sz w:val="21"/>
          <w:szCs w:val="21"/>
        </w:rPr>
      </w:pPr>
      <w:r>
        <w:rPr>
          <w:rFonts w:hint="eastAsia" w:ascii="宋体" w:hAnsi="宋体" w:cs="楷体"/>
          <w:b/>
          <w:bCs/>
          <w:color w:val="000000"/>
          <w:sz w:val="21"/>
          <w:szCs w:val="21"/>
        </w:rPr>
        <w:t>摘</w:t>
      </w:r>
      <w:r>
        <w:rPr>
          <w:rFonts w:ascii="宋体" w:hAnsi="宋体" w:cs="楷体"/>
          <w:b/>
          <w:bCs/>
          <w:color w:val="000000"/>
          <w:sz w:val="21"/>
          <w:szCs w:val="21"/>
        </w:rPr>
        <w:t xml:space="preserve"> </w:t>
      </w:r>
      <w:r>
        <w:rPr>
          <w:rFonts w:hint="eastAsia" w:ascii="宋体" w:hAnsi="宋体" w:cs="楷体"/>
          <w:b/>
          <w:bCs/>
          <w:color w:val="000000"/>
          <w:sz w:val="21"/>
          <w:szCs w:val="21"/>
        </w:rPr>
        <w:t>要：</w:t>
      </w:r>
      <w:r>
        <w:rPr>
          <w:rFonts w:hint="eastAsia" w:ascii="楷体" w:hAnsi="楷体" w:eastAsia="楷体" w:cs="楷体"/>
          <w:color w:val="000000"/>
          <w:sz w:val="21"/>
          <w:szCs w:val="21"/>
        </w:rPr>
        <w:t>随着冷冻胚胎术运用的增加，相关纠纷不断增多。我国相关立法虽然比较欠缺，但是理论探讨比较热烈，而国外立法例与理论发展相对成熟。关于法律属性问题，中介说突破了主体说和客体说的人、物二元框架，具有明显的灵活性和时代性。在冷冻胚胎的处置问题上，以冷冻胚胎的双重属性为立足点，坚持“双方同意”原则为主、利益平衡原则为辅，更加符合社会伦理，有利于维护社会秩序。</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ascii="楷体" w:hAnsi="楷体" w:eastAsia="楷体" w:cs="楷体"/>
          <w:color w:val="000000"/>
          <w:sz w:val="21"/>
          <w:szCs w:val="21"/>
        </w:rPr>
      </w:pPr>
      <w:r>
        <w:rPr>
          <w:rFonts w:hint="eastAsia" w:ascii="宋体" w:hAnsi="宋体" w:cs="楷体"/>
          <w:b/>
          <w:bCs/>
          <w:color w:val="000000"/>
          <w:sz w:val="21"/>
          <w:szCs w:val="21"/>
        </w:rPr>
        <w:t>关键词：</w:t>
      </w:r>
      <w:r>
        <w:rPr>
          <w:rFonts w:hint="eastAsia" w:ascii="楷体" w:hAnsi="楷体" w:eastAsia="楷体" w:cs="楷体"/>
          <w:color w:val="000000"/>
          <w:sz w:val="21"/>
          <w:szCs w:val="21"/>
        </w:rPr>
        <w:t>冷冻胚胎</w:t>
      </w:r>
      <w:r>
        <w:rPr>
          <w:rFonts w:ascii="楷体" w:hAnsi="楷体" w:eastAsia="楷体" w:cs="楷体"/>
          <w:color w:val="000000"/>
          <w:sz w:val="21"/>
          <w:szCs w:val="21"/>
        </w:rPr>
        <w:t xml:space="preserve">  </w:t>
      </w:r>
      <w:r>
        <w:rPr>
          <w:rFonts w:hint="eastAsia" w:ascii="楷体" w:hAnsi="楷体" w:eastAsia="楷体" w:cs="楷体"/>
          <w:color w:val="000000"/>
          <w:sz w:val="21"/>
          <w:szCs w:val="21"/>
        </w:rPr>
        <w:t>法律属性</w:t>
      </w:r>
      <w:r>
        <w:rPr>
          <w:rFonts w:ascii="楷体" w:hAnsi="楷体" w:eastAsia="楷体" w:cs="楷体"/>
          <w:color w:val="000000"/>
          <w:sz w:val="21"/>
          <w:szCs w:val="21"/>
        </w:rPr>
        <w:t xml:space="preserve">  </w:t>
      </w:r>
      <w:r>
        <w:rPr>
          <w:rFonts w:hint="eastAsia" w:ascii="楷体" w:hAnsi="楷体" w:eastAsia="楷体" w:cs="楷体"/>
          <w:color w:val="000000"/>
          <w:sz w:val="21"/>
          <w:szCs w:val="21"/>
        </w:rPr>
        <w:t>中介说</w:t>
      </w:r>
      <w:r>
        <w:rPr>
          <w:rFonts w:ascii="楷体" w:hAnsi="楷体" w:eastAsia="楷体" w:cs="楷体"/>
          <w:color w:val="000000"/>
          <w:sz w:val="21"/>
          <w:szCs w:val="21"/>
        </w:rPr>
        <w:t xml:space="preserve">  </w:t>
      </w:r>
      <w:r>
        <w:rPr>
          <w:rFonts w:hint="eastAsia" w:ascii="楷体" w:hAnsi="楷体" w:eastAsia="楷体" w:cs="楷体"/>
          <w:color w:val="000000"/>
          <w:sz w:val="21"/>
          <w:szCs w:val="21"/>
        </w:rPr>
        <w:t>行使规则</w:t>
      </w:r>
    </w:p>
    <w:p>
      <w:pPr>
        <w:keepNext w:val="0"/>
        <w:keepLines w:val="0"/>
        <w:pageBreakBefore w:val="0"/>
        <w:kinsoku/>
        <w:wordWrap/>
        <w:overflowPunct/>
        <w:topLinePunct w:val="0"/>
        <w:autoSpaceDE/>
        <w:autoSpaceDN/>
        <w:bidi w:val="0"/>
        <w:spacing w:line="240" w:lineRule="auto"/>
        <w:jc w:val="left"/>
        <w:textAlignment w:val="auto"/>
        <w:rPr>
          <w:rFonts w:hint="eastAsia" w:ascii="楷体" w:hAnsi="楷体" w:eastAsia="楷体" w:cs="楷体"/>
          <w:color w:val="000000"/>
          <w:szCs w:val="21"/>
        </w:rPr>
      </w:pPr>
    </w:p>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Times New Roman" w:hAnsi="Times New Roman"/>
          <w:color w:val="000000"/>
          <w:szCs w:val="21"/>
        </w:rPr>
      </w:pPr>
      <w:r>
        <w:rPr>
          <w:rFonts w:hint="eastAsia" w:ascii="黑体" w:hAnsi="黑体" w:eastAsia="黑体" w:cs="黑体"/>
          <w:b/>
          <w:bCs/>
          <w:color w:val="000000"/>
          <w:sz w:val="28"/>
          <w:szCs w:val="28"/>
          <w:lang w:val="en-US" w:eastAsia="zh-CN"/>
        </w:rPr>
        <w:t>一、</w:t>
      </w:r>
      <w:r>
        <w:rPr>
          <w:rFonts w:hint="eastAsia" w:ascii="黑体" w:hAnsi="黑体" w:eastAsia="黑体" w:cs="黑体"/>
          <w:b/>
          <w:bCs/>
          <w:color w:val="000000"/>
          <w:sz w:val="28"/>
          <w:szCs w:val="28"/>
        </w:rPr>
        <w:t>冷冻胚胎法律问题之现实需求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ascii="Times New Roman" w:hAnsi="Times New Roman"/>
          <w:color w:val="000000"/>
          <w:szCs w:val="21"/>
        </w:rPr>
      </w:pPr>
      <w:r>
        <w:rPr>
          <w:rFonts w:hint="eastAsia" w:ascii="Times New Roman" w:hAnsi="Times New Roman"/>
          <w:color w:val="000000"/>
          <w:szCs w:val="21"/>
        </w:rPr>
        <w:t>据调查，我国近年来不孕不育症存在着上升的趋势，目前国内不孕不育的平均发病率为</w:t>
      </w:r>
      <w:r>
        <w:rPr>
          <w:rFonts w:ascii="Times New Roman" w:hAnsi="Times New Roman"/>
          <w:color w:val="000000"/>
          <w:szCs w:val="21"/>
        </w:rPr>
        <w:t>12.5%~15%</w:t>
      </w:r>
      <w:r>
        <w:rPr>
          <w:rFonts w:hint="eastAsia" w:ascii="Times New Roman" w:hAnsi="Times New Roman"/>
          <w:color w:val="000000"/>
          <w:szCs w:val="21"/>
        </w:rPr>
        <w:t>，不孕不育患者人数已超过</w:t>
      </w:r>
      <w:r>
        <w:rPr>
          <w:rFonts w:ascii="Times New Roman" w:hAnsi="Times New Roman"/>
          <w:color w:val="000000"/>
          <w:szCs w:val="21"/>
        </w:rPr>
        <w:t>5000</w:t>
      </w:r>
      <w:r>
        <w:rPr>
          <w:rFonts w:hint="eastAsia" w:ascii="Times New Roman" w:hAnsi="Times New Roman"/>
          <w:color w:val="000000"/>
          <w:szCs w:val="21"/>
        </w:rPr>
        <w:t>万。</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12"/>
      </w:r>
      <w:r>
        <w:rPr>
          <w:rStyle w:val="12"/>
          <w:rFonts w:ascii="Times New Roman" w:hAnsi="Times New Roman"/>
          <w:color w:val="000000"/>
          <w:sz w:val="18"/>
          <w:szCs w:val="21"/>
        </w:rPr>
        <w:t>]</w:t>
      </w:r>
      <w:r>
        <w:rPr>
          <w:rFonts w:hint="eastAsia" w:ascii="Times New Roman" w:hAnsi="Times New Roman"/>
          <w:color w:val="000000"/>
          <w:szCs w:val="21"/>
        </w:rPr>
        <w:t>冷冻胚胎技术是目前保存生育功能的一种较为成熟的方法。是将通过试管培育技术得到的胚胎，存置于零下</w:t>
      </w:r>
      <w:r>
        <w:rPr>
          <w:rFonts w:ascii="Times New Roman" w:hAnsi="Times New Roman"/>
          <w:color w:val="000000"/>
          <w:szCs w:val="21"/>
        </w:rPr>
        <w:t>196</w:t>
      </w:r>
      <w:r>
        <w:rPr>
          <w:rFonts w:hint="eastAsia" w:ascii="Times New Roman" w:hAnsi="Times New Roman"/>
          <w:color w:val="000000"/>
          <w:szCs w:val="21"/>
        </w:rPr>
        <w:t>℃的液氮环境中长时间保存，解冻后可以进行移植，冷冻胚胎技术减轻了不孕不育夫妇体外受精治疗的痛苦，同时也使得生育的成功率大大提高。</w:t>
      </w:r>
      <w:r>
        <w:rPr>
          <w:rFonts w:ascii="Times New Roman" w:hAnsi="Times New Roman"/>
          <w:color w:val="000000"/>
          <w:szCs w:val="21"/>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Times New Roman" w:hAnsi="Times New Roman"/>
          <w:color w:val="000000"/>
          <w:szCs w:val="21"/>
        </w:rPr>
      </w:pPr>
      <w:r>
        <w:rPr>
          <w:rFonts w:hint="eastAsia" w:ascii="Times New Roman" w:hAnsi="Times New Roman"/>
          <w:color w:val="000000"/>
          <w:szCs w:val="21"/>
        </w:rPr>
        <w:t>随着胚胎移植越来越多地被采用，尤其随着二胎政策的全面放开，冷冻胚胎的数量亦有所上升，冷冻胚胎带来的纠纷也日益增加。例如，不孕夫妇在医疗过程中对是否植入冷冻胚胎、离婚或者死亡后对冷冻胚胎的处置问题等等。由于我国相关立法甚少，导致产生了此类纠纷的法律适用困境。本文将结合当前司法实践和国内外立法例，就冷冻胚胎的法律属性、权利归属及处置规则进行探讨，以期对相关立法、司法的完善有所助益。</w:t>
      </w:r>
    </w:p>
    <w:p>
      <w:pPr>
        <w:keepNext w:val="0"/>
        <w:keepLines w:val="0"/>
        <w:pageBreakBefore w:val="0"/>
        <w:kinsoku/>
        <w:wordWrap/>
        <w:overflowPunct/>
        <w:topLinePunct w:val="0"/>
        <w:autoSpaceDE/>
        <w:autoSpaceDN/>
        <w:bidi w:val="0"/>
        <w:spacing w:line="240" w:lineRule="auto"/>
        <w:ind w:firstLine="420" w:firstLineChars="200"/>
        <w:jc w:val="left"/>
        <w:textAlignment w:val="auto"/>
        <w:rPr>
          <w:rFonts w:hint="eastAsia" w:ascii="Times New Roman" w:hAnsi="Times New Roman"/>
          <w:color w:val="000000"/>
          <w:szCs w:val="21"/>
        </w:rPr>
      </w:pPr>
    </w:p>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Times New Roman" w:hAnsi="Times New Roman"/>
          <w:color w:val="000000"/>
          <w:szCs w:val="21"/>
          <w:lang w:val="en-US" w:eastAsia="zh-CN"/>
        </w:rPr>
      </w:pPr>
      <w:r>
        <w:rPr>
          <w:rFonts w:hint="eastAsia" w:ascii="黑体" w:hAnsi="黑体" w:eastAsia="黑体" w:cs="黑体"/>
          <w:b/>
          <w:bCs/>
          <w:color w:val="000000"/>
          <w:sz w:val="28"/>
          <w:szCs w:val="28"/>
          <w:lang w:val="en-US" w:eastAsia="zh-CN"/>
        </w:rPr>
        <w:t>二、</w:t>
      </w:r>
      <w:r>
        <w:rPr>
          <w:rFonts w:hint="eastAsia" w:ascii="黑体" w:hAnsi="黑体" w:eastAsia="黑体" w:cs="黑体"/>
          <w:b/>
          <w:bCs/>
          <w:color w:val="000000"/>
          <w:sz w:val="28"/>
          <w:szCs w:val="28"/>
        </w:rPr>
        <w:t>冷冻胚胎法律属性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ascii="Times New Roman" w:hAnsi="Times New Roman"/>
          <w:color w:val="000000"/>
          <w:szCs w:val="21"/>
        </w:rPr>
      </w:pPr>
      <w:r>
        <w:rPr>
          <w:rFonts w:hint="eastAsia" w:ascii="Times New Roman" w:hAnsi="Times New Roman"/>
          <w:color w:val="000000"/>
          <w:szCs w:val="21"/>
          <w:lang w:val="en-US" w:eastAsia="zh-CN"/>
        </w:rPr>
        <w:t xml:space="preserve"> </w:t>
      </w:r>
      <w:r>
        <w:rPr>
          <w:rFonts w:hint="eastAsia"/>
          <w:color w:val="000000"/>
          <w:szCs w:val="21"/>
          <w:lang w:val="en-US" w:eastAsia="zh-CN"/>
        </w:rPr>
        <w:t xml:space="preserve">   </w:t>
      </w:r>
      <w:r>
        <w:rPr>
          <w:rFonts w:hint="eastAsia" w:ascii="Times New Roman" w:hAnsi="Times New Roman"/>
          <w:color w:val="000000"/>
          <w:szCs w:val="21"/>
        </w:rPr>
        <w:t>冷冻胚胎法律属性问题是规范其具体行使规则的关键所在，关于法律属性主要有三大学说：主体说、客体说、中介说。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ascii="宋体" w:cs="宋体"/>
          <w:b/>
          <w:bCs/>
          <w:color w:val="000000"/>
          <w:sz w:val="24"/>
        </w:rPr>
      </w:pPr>
      <w:r>
        <w:rPr>
          <w:rFonts w:hint="eastAsia" w:ascii="宋体" w:hAnsi="宋体" w:cs="宋体"/>
          <w:b/>
          <w:bCs/>
          <w:color w:val="000000"/>
          <w:sz w:val="24"/>
        </w:rPr>
        <w:t>（一）各种学说的介绍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left"/>
        <w:textAlignment w:val="auto"/>
        <w:outlineLvl w:val="9"/>
        <w:rPr>
          <w:rFonts w:ascii="宋体" w:cs="宋体"/>
          <w:bCs/>
          <w:color w:val="000000"/>
          <w:szCs w:val="21"/>
        </w:rPr>
      </w:pPr>
      <w:r>
        <w:rPr>
          <w:rFonts w:ascii="宋体" w:hAnsi="宋体" w:cs="宋体"/>
          <w:b/>
          <w:bCs/>
          <w:color w:val="000000"/>
          <w:sz w:val="24"/>
        </w:rPr>
        <w:t xml:space="preserve">   </w:t>
      </w:r>
      <w:r>
        <w:rPr>
          <w:rFonts w:ascii="宋体" w:hAnsi="宋体" w:cs="宋体"/>
          <w:b/>
          <w:bCs/>
          <w:color w:val="000000"/>
          <w:szCs w:val="21"/>
        </w:rPr>
        <w:t xml:space="preserve"> </w:t>
      </w:r>
      <w:r>
        <w:rPr>
          <w:rFonts w:ascii="宋体" w:hAnsi="宋体" w:cs="宋体"/>
          <w:bCs/>
          <w:color w:val="000000"/>
          <w:szCs w:val="21"/>
        </w:rPr>
        <w:t>1.</w:t>
      </w:r>
      <w:r>
        <w:rPr>
          <w:rFonts w:hint="eastAsia" w:ascii="宋体" w:hAnsi="宋体" w:cs="宋体"/>
          <w:bCs/>
          <w:color w:val="000000"/>
          <w:szCs w:val="21"/>
        </w:rPr>
        <w:t>主体说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ascii="Times New Roman" w:hAnsi="Times New Roman"/>
          <w:color w:val="000000"/>
          <w:szCs w:val="21"/>
        </w:rPr>
      </w:pPr>
      <w:r>
        <w:rPr>
          <w:rFonts w:hint="eastAsia" w:ascii="Times New Roman" w:hAnsi="Times New Roman"/>
          <w:color w:val="000000"/>
          <w:szCs w:val="21"/>
        </w:rPr>
        <w:t>主体说认为脱离人体的器官和组织的法律属性非为物，冷冻胚胎具有人的主体地位；认为这些器官和组织从属于人的身体，因而是法律关系的主体。而主体说又分化为两个分支。其一，把胚胎视为自然人或有限的自然人，确定胎儿有人的主体地位，并且依据人格产生的时间又衍生出着床说和法人说；前者认为着床后的胚胎才具有人的主体地位，故冷冻胚胎并非法律关系之主体；后者则认为自受精开始就已成为人，故冷冻胚胎是主体，美国田纳西州</w:t>
      </w:r>
      <w:r>
        <w:rPr>
          <w:rFonts w:ascii="Times New Roman" w:hAnsi="Times New Roman"/>
          <w:color w:val="000000"/>
          <w:szCs w:val="21"/>
        </w:rPr>
        <w:t>Davis</w:t>
      </w:r>
      <w:r>
        <w:rPr>
          <w:rFonts w:hint="eastAsia" w:ascii="Times New Roman" w:hAnsi="Times New Roman"/>
          <w:color w:val="000000"/>
          <w:szCs w:val="21"/>
        </w:rPr>
        <w:t>诉</w:t>
      </w:r>
      <w:r>
        <w:rPr>
          <w:rFonts w:ascii="Times New Roman" w:hAnsi="Times New Roman"/>
          <w:color w:val="000000"/>
          <w:szCs w:val="21"/>
        </w:rPr>
        <w:t>Davis</w:t>
      </w:r>
      <w:r>
        <w:rPr>
          <w:rFonts w:hint="eastAsia" w:ascii="Times New Roman" w:hAnsi="Times New Roman"/>
          <w:color w:val="000000"/>
          <w:szCs w:val="21"/>
        </w:rPr>
        <w:t>案</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13"/>
      </w:r>
      <w:r>
        <w:rPr>
          <w:rStyle w:val="12"/>
          <w:rFonts w:ascii="Times New Roman" w:hAnsi="Times New Roman"/>
          <w:color w:val="000000"/>
          <w:sz w:val="18"/>
          <w:szCs w:val="21"/>
        </w:rPr>
        <w:t>]</w:t>
      </w:r>
      <w:r>
        <w:rPr>
          <w:rFonts w:hint="eastAsia" w:ascii="Times New Roman" w:hAnsi="Times New Roman"/>
          <w:color w:val="000000"/>
          <w:szCs w:val="21"/>
        </w:rPr>
        <w:t>一审即采取了这种观点。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olor w:val="000000"/>
          <w:szCs w:val="21"/>
        </w:rPr>
      </w:pPr>
      <w:r>
        <w:rPr>
          <w:rFonts w:hint="eastAsia" w:ascii="Times New Roman" w:hAnsi="Times New Roman"/>
          <w:color w:val="000000"/>
          <w:szCs w:val="21"/>
        </w:rPr>
        <w:t>主体说之二，把冷冻胚胎看作“法人”，是由物向人过渡时一种人的“拟制状态”，并非全部将自然人的权利赋予胚胎，只是赋予生命权，从而产生免受伤害权。法律规定只允许在一种情形下处置受精胚胎，即解冻后</w:t>
      </w:r>
      <w:r>
        <w:rPr>
          <w:rFonts w:ascii="Times New Roman" w:hAnsi="Times New Roman"/>
          <w:color w:val="000000"/>
          <w:szCs w:val="21"/>
        </w:rPr>
        <w:t>36</w:t>
      </w:r>
      <w:r>
        <w:rPr>
          <w:rFonts w:hint="eastAsia" w:ascii="Times New Roman" w:hAnsi="Times New Roman"/>
          <w:color w:val="000000"/>
          <w:szCs w:val="21"/>
        </w:rPr>
        <w:t>小时没有能够成功发育的冷冻受精胚胎。美国《路易斯安那民法典》第</w:t>
      </w:r>
      <w:r>
        <w:rPr>
          <w:rFonts w:ascii="Times New Roman" w:hAnsi="Times New Roman"/>
          <w:color w:val="000000"/>
          <w:szCs w:val="21"/>
        </w:rPr>
        <w:t>26</w:t>
      </w:r>
      <w:r>
        <w:rPr>
          <w:rFonts w:hint="eastAsia" w:ascii="Times New Roman" w:hAnsi="Times New Roman"/>
          <w:color w:val="000000"/>
          <w:szCs w:val="21"/>
        </w:rPr>
        <w:t>条和</w:t>
      </w:r>
      <w:r>
        <w:rPr>
          <w:rFonts w:ascii="Times New Roman" w:hAnsi="Times New Roman"/>
          <w:color w:val="000000"/>
          <w:szCs w:val="21"/>
        </w:rPr>
        <w:t xml:space="preserve"> 1986 </w:t>
      </w:r>
      <w:r>
        <w:rPr>
          <w:rFonts w:hint="eastAsia" w:ascii="Times New Roman" w:hAnsi="Times New Roman"/>
          <w:color w:val="000000"/>
          <w:szCs w:val="21"/>
        </w:rPr>
        <w:t>年第</w:t>
      </w:r>
      <w:r>
        <w:rPr>
          <w:rFonts w:ascii="Times New Roman" w:hAnsi="Times New Roman"/>
          <w:color w:val="000000"/>
          <w:szCs w:val="21"/>
        </w:rPr>
        <w:t xml:space="preserve"> 964 </w:t>
      </w:r>
      <w:r>
        <w:rPr>
          <w:rFonts w:hint="eastAsia" w:ascii="Times New Roman" w:hAnsi="Times New Roman"/>
          <w:color w:val="000000"/>
          <w:szCs w:val="21"/>
        </w:rPr>
        <w:t>号法律《人类胎胚法》第</w:t>
      </w:r>
      <w:r>
        <w:rPr>
          <w:rFonts w:ascii="Times New Roman" w:hAnsi="Times New Roman"/>
          <w:color w:val="000000"/>
          <w:szCs w:val="21"/>
        </w:rPr>
        <w:t>9</w:t>
      </w:r>
      <w:r>
        <w:rPr>
          <w:rFonts w:hint="eastAsia" w:ascii="Times New Roman" w:hAnsi="Times New Roman"/>
          <w:color w:val="000000"/>
          <w:szCs w:val="21"/>
        </w:rPr>
        <w:t>：</w:t>
      </w:r>
      <w:r>
        <w:rPr>
          <w:rFonts w:ascii="Times New Roman" w:hAnsi="Times New Roman"/>
          <w:color w:val="000000"/>
          <w:szCs w:val="21"/>
        </w:rPr>
        <w:t>123</w:t>
      </w:r>
      <w:r>
        <w:rPr>
          <w:rFonts w:hint="eastAsia" w:ascii="Times New Roman" w:hAnsi="Times New Roman"/>
          <w:color w:val="000000"/>
          <w:szCs w:val="21"/>
        </w:rPr>
        <w:t>条规定：在被植入子宫之前</w:t>
      </w:r>
      <w:r>
        <w:rPr>
          <w:rFonts w:ascii="Times New Roman" w:hAnsi="Times New Roman"/>
          <w:color w:val="000000"/>
          <w:szCs w:val="21"/>
        </w:rPr>
        <w:t>,</w:t>
      </w:r>
      <w:r>
        <w:rPr>
          <w:rFonts w:hint="eastAsia" w:ascii="Times New Roman" w:hAnsi="Times New Roman"/>
          <w:color w:val="000000"/>
          <w:szCs w:val="21"/>
        </w:rPr>
        <w:t>体外受精胎胚享有法人</w:t>
      </w:r>
      <w:r>
        <w:rPr>
          <w:rFonts w:ascii="Times New Roman" w:hAnsi="Times New Roman"/>
          <w:color w:val="000000"/>
          <w:szCs w:val="21"/>
        </w:rPr>
        <w:t>(Juridical person)</w:t>
      </w:r>
      <w:r>
        <w:rPr>
          <w:rFonts w:hint="eastAsia" w:ascii="Times New Roman" w:hAnsi="Times New Roman"/>
          <w:color w:val="000000"/>
          <w:szCs w:val="21"/>
        </w:rPr>
        <w:t>地位，植入后的胎胚作为胎儿享有自然人地位。此处法人不同于大陆法民法传统意义上的法人。该法认为受精胎胚是男人的精子与女人的卵子的联合，这种联合与在社团名义下自然人的联合具有等同性，受精胎胚因其法人的属性而当然的获得了主体资格。但是该法强调了受精胚胎权利的有限性，仅赋予其生命权（第</w:t>
      </w:r>
      <w:r>
        <w:rPr>
          <w:rFonts w:ascii="Times New Roman" w:hAnsi="Times New Roman"/>
          <w:color w:val="000000"/>
          <w:szCs w:val="21"/>
        </w:rPr>
        <w:t>9</w:t>
      </w:r>
      <w:r>
        <w:rPr>
          <w:rFonts w:hint="eastAsia" w:ascii="Times New Roman" w:hAnsi="Times New Roman"/>
          <w:color w:val="000000"/>
          <w:szCs w:val="21"/>
        </w:rPr>
        <w:t>：</w:t>
      </w:r>
      <w:r>
        <w:rPr>
          <w:rFonts w:ascii="Times New Roman" w:hAnsi="Times New Roman"/>
          <w:color w:val="000000"/>
          <w:szCs w:val="21"/>
        </w:rPr>
        <w:t>129</w:t>
      </w:r>
      <w:r>
        <w:rPr>
          <w:rFonts w:hint="eastAsia" w:ascii="Times New Roman" w:hAnsi="Times New Roman"/>
          <w:color w:val="000000"/>
          <w:szCs w:val="21"/>
        </w:rPr>
        <w:t>条）、免受伤害权（第</w:t>
      </w:r>
      <w:r>
        <w:rPr>
          <w:rFonts w:ascii="Times New Roman" w:hAnsi="Times New Roman"/>
          <w:color w:val="000000"/>
          <w:szCs w:val="21"/>
        </w:rPr>
        <w:t>9</w:t>
      </w:r>
      <w:r>
        <w:rPr>
          <w:rFonts w:hint="eastAsia" w:ascii="Times New Roman" w:hAnsi="Times New Roman"/>
          <w:color w:val="000000"/>
          <w:szCs w:val="21"/>
        </w:rPr>
        <w:t>：</w:t>
      </w:r>
      <w:r>
        <w:rPr>
          <w:rFonts w:ascii="Times New Roman" w:hAnsi="Times New Roman"/>
          <w:color w:val="000000"/>
          <w:szCs w:val="21"/>
        </w:rPr>
        <w:t>129</w:t>
      </w:r>
      <w:r>
        <w:rPr>
          <w:rFonts w:hint="eastAsia" w:ascii="Times New Roman" w:hAnsi="Times New Roman"/>
          <w:color w:val="000000"/>
          <w:szCs w:val="21"/>
        </w:rPr>
        <w:t>条）、被代理权（第</w:t>
      </w:r>
      <w:r>
        <w:rPr>
          <w:rFonts w:ascii="Times New Roman" w:hAnsi="Times New Roman"/>
          <w:color w:val="000000"/>
          <w:szCs w:val="21"/>
        </w:rPr>
        <w:t>9</w:t>
      </w:r>
      <w:r>
        <w:rPr>
          <w:rFonts w:hint="eastAsia" w:ascii="Times New Roman" w:hAnsi="Times New Roman"/>
          <w:color w:val="000000"/>
          <w:szCs w:val="21"/>
        </w:rPr>
        <w:t>：</w:t>
      </w:r>
      <w:r>
        <w:rPr>
          <w:rFonts w:ascii="Times New Roman" w:hAnsi="Times New Roman"/>
          <w:color w:val="000000"/>
          <w:szCs w:val="21"/>
        </w:rPr>
        <w:t>124</w:t>
      </w:r>
      <w:r>
        <w:rPr>
          <w:rFonts w:hint="eastAsia" w:ascii="Times New Roman" w:hAnsi="Times New Roman"/>
          <w:color w:val="000000"/>
          <w:szCs w:val="21"/>
        </w:rPr>
        <w:t>条）、被收养权（第</w:t>
      </w:r>
      <w:r>
        <w:rPr>
          <w:rFonts w:ascii="Times New Roman" w:hAnsi="Times New Roman"/>
          <w:color w:val="000000"/>
          <w:szCs w:val="21"/>
        </w:rPr>
        <w:t>9</w:t>
      </w:r>
      <w:r>
        <w:rPr>
          <w:rFonts w:hint="eastAsia" w:ascii="Times New Roman" w:hAnsi="Times New Roman"/>
          <w:color w:val="000000"/>
          <w:szCs w:val="21"/>
        </w:rPr>
        <w:t>：</w:t>
      </w:r>
      <w:r>
        <w:rPr>
          <w:rFonts w:ascii="Times New Roman" w:hAnsi="Times New Roman"/>
          <w:color w:val="000000"/>
          <w:szCs w:val="21"/>
        </w:rPr>
        <w:t>130</w:t>
      </w:r>
      <w:r>
        <w:rPr>
          <w:rFonts w:hint="eastAsia" w:ascii="Times New Roman" w:hAnsi="Times New Roman"/>
          <w:color w:val="000000"/>
          <w:szCs w:val="21"/>
        </w:rPr>
        <w:t>条），且其不享有继承权（第</w:t>
      </w:r>
      <w:r>
        <w:rPr>
          <w:rFonts w:ascii="Times New Roman" w:hAnsi="Times New Roman"/>
          <w:color w:val="000000"/>
          <w:szCs w:val="21"/>
        </w:rPr>
        <w:t>9</w:t>
      </w:r>
      <w:r>
        <w:rPr>
          <w:rFonts w:hint="eastAsia" w:ascii="Times New Roman" w:hAnsi="Times New Roman"/>
          <w:color w:val="000000"/>
          <w:szCs w:val="21"/>
        </w:rPr>
        <w:t>：</w:t>
      </w:r>
      <w:r>
        <w:rPr>
          <w:rFonts w:ascii="Times New Roman" w:hAnsi="Times New Roman"/>
          <w:color w:val="000000"/>
          <w:szCs w:val="21"/>
        </w:rPr>
        <w:t>133</w:t>
      </w:r>
      <w:r>
        <w:rPr>
          <w:rFonts w:hint="eastAsia" w:ascii="Times New Roman" w:hAnsi="Times New Roman"/>
          <w:color w:val="000000"/>
          <w:szCs w:val="21"/>
        </w:rPr>
        <w:t>条）。</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14"/>
      </w:r>
      <w:r>
        <w:rPr>
          <w:rStyle w:val="12"/>
          <w:rFonts w:ascii="Times New Roman" w:hAnsi="Times New Roman"/>
          <w:color w:val="000000"/>
          <w:sz w:val="18"/>
          <w:szCs w:val="21"/>
        </w:rPr>
        <w:t>]</w:t>
      </w:r>
      <w:r>
        <w:rPr>
          <w:rFonts w:hint="eastAsia" w:ascii="Times New Roman" w:hAnsi="Times New Roman"/>
          <w:color w:val="000000"/>
          <w:szCs w:val="21"/>
        </w:rPr>
        <w:t>法人说旨在提高冷冻胚胎的法律定位，加大保护力度，使其免受他人的非法侵害，然而此处法人与大陆法上社团法人和财团法人意义上的法人概念相去甚远。</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left"/>
        <w:textAlignment w:val="auto"/>
        <w:outlineLvl w:val="9"/>
        <w:rPr>
          <w:rFonts w:ascii="宋体" w:cs="宋体"/>
          <w:bCs/>
          <w:color w:val="000000"/>
          <w:szCs w:val="21"/>
        </w:rPr>
      </w:pPr>
      <w:r>
        <w:rPr>
          <w:rFonts w:ascii="宋体" w:hAnsi="宋体" w:cs="宋体"/>
          <w:b/>
          <w:bCs/>
          <w:color w:val="000000"/>
          <w:sz w:val="24"/>
        </w:rPr>
        <w:t xml:space="preserve">    </w:t>
      </w:r>
      <w:r>
        <w:rPr>
          <w:rFonts w:ascii="宋体" w:hAnsi="宋体" w:cs="宋体"/>
          <w:bCs/>
          <w:color w:val="000000"/>
          <w:szCs w:val="21"/>
        </w:rPr>
        <w:t>2.</w:t>
      </w:r>
      <w:r>
        <w:rPr>
          <w:rFonts w:hint="eastAsia" w:ascii="宋体" w:hAnsi="宋体" w:cs="宋体"/>
          <w:bCs/>
          <w:color w:val="000000"/>
          <w:szCs w:val="21"/>
        </w:rPr>
        <w:t>客体说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ascii="Times New Roman" w:hAnsi="Times New Roman"/>
          <w:color w:val="000000"/>
          <w:szCs w:val="21"/>
        </w:rPr>
      </w:pPr>
      <w:r>
        <w:rPr>
          <w:rFonts w:hint="eastAsia" w:ascii="Times New Roman" w:hAnsi="Times New Roman"/>
          <w:color w:val="000000"/>
          <w:szCs w:val="21"/>
        </w:rPr>
        <w:t>客体说认为冷冻胚胎是民事法律关系的客体，具有物的属性。客体说中主要包括了财产说、夫妻利益说，我国学者杨立新教授提出了伦理物一说。财产说认为胚胎属于夫妻共同财产，是一种“物”，可以成为合同标的，也可以继承。夫妻私生活利益说认为：胚胎不是单纯的物，是夫妻关系私生活权的客体，即生育自决权，包括生育的权利和不生育的权利。财产说表达的是一种横向的权利，即私法的权利；而私生活利益说表达的是一种纵横交错的权利，即宪法上的权利。夫妻私生活利益说，一方面指，在生育不能仅仅通过男女双方一方的努力完成的前提下，男女双方生育权平等；另一方面，国家不能以促进人口增长的公共利益来凌迫个人不生育的自决权，个人利益与国家公共利益需要权衡。</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15"/>
      </w:r>
      <w:r>
        <w:rPr>
          <w:rStyle w:val="12"/>
          <w:rFonts w:ascii="Times New Roman" w:hAnsi="Times New Roman"/>
          <w:color w:val="000000"/>
          <w:sz w:val="18"/>
          <w:szCs w:val="21"/>
        </w:rPr>
        <w:t>]</w:t>
      </w:r>
      <w:r>
        <w:rPr>
          <w:rFonts w:hint="eastAsia" w:ascii="Times New Roman" w:hAnsi="Times New Roman"/>
          <w:color w:val="000000"/>
          <w:szCs w:val="21"/>
        </w:rPr>
        <w:t>伦理物说</w:t>
      </w:r>
      <w:r>
        <w:rPr>
          <w:rFonts w:hint="eastAsia" w:ascii="Times New Roman" w:hAnsi="Times New Roman" w:cs="Arial"/>
          <w:color w:val="000000"/>
          <w:kern w:val="0"/>
          <w:szCs w:val="21"/>
        </w:rPr>
        <w:t>认定冷冻胚胎等脱离人体的器官和组织的法律属性为物，并不否认其所具有特殊性。总体上使用对物的保护方法，但采用更谨慎、更周到的态度就能够保障其包含的潜在人格。</w:t>
      </w:r>
      <w:r>
        <w:rPr>
          <w:rFonts w:hint="eastAsia" w:ascii="Times New Roman" w:hAnsi="Times New Roman"/>
          <w:color w:val="000000"/>
          <w:szCs w:val="21"/>
        </w:rPr>
        <w:t>冷冻胚胎应当作为继承权的客体。</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left"/>
        <w:textAlignment w:val="auto"/>
        <w:outlineLvl w:val="9"/>
        <w:rPr>
          <w:rFonts w:ascii="宋体" w:cs="宋体"/>
          <w:bCs/>
          <w:color w:val="000000"/>
          <w:szCs w:val="21"/>
        </w:rPr>
      </w:pPr>
      <w:r>
        <w:rPr>
          <w:rFonts w:ascii="宋体" w:hAnsi="宋体" w:cs="宋体"/>
          <w:b/>
          <w:bCs/>
          <w:color w:val="000000"/>
          <w:sz w:val="24"/>
        </w:rPr>
        <w:t xml:space="preserve">  </w:t>
      </w:r>
      <w:r>
        <w:rPr>
          <w:rFonts w:ascii="宋体" w:hAnsi="宋体" w:cs="宋体"/>
          <w:b/>
          <w:bCs/>
          <w:color w:val="000000"/>
          <w:szCs w:val="21"/>
        </w:rPr>
        <w:t xml:space="preserve"> </w:t>
      </w:r>
      <w:r>
        <w:rPr>
          <w:rFonts w:ascii="宋体" w:hAnsi="宋体" w:cs="宋体"/>
          <w:bCs/>
          <w:color w:val="000000"/>
          <w:szCs w:val="21"/>
        </w:rPr>
        <w:t xml:space="preserve"> 3.</w:t>
      </w:r>
      <w:r>
        <w:rPr>
          <w:rFonts w:hint="eastAsia" w:ascii="宋体" w:hAnsi="宋体" w:cs="宋体"/>
          <w:bCs/>
          <w:color w:val="000000"/>
          <w:szCs w:val="21"/>
        </w:rPr>
        <w:t>中介说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ascii="Times New Roman" w:hAnsi="Times New Roman"/>
          <w:color w:val="000000"/>
          <w:szCs w:val="21"/>
        </w:rPr>
      </w:pPr>
      <w:r>
        <w:rPr>
          <w:rFonts w:hint="eastAsia" w:ascii="Times New Roman" w:hAnsi="Times New Roman"/>
          <w:color w:val="000000"/>
          <w:szCs w:val="21"/>
        </w:rPr>
        <w:t>在主体说与客体说的基础上，产生了中介说，亦称折衷说。该学说主张：冷冻胚胎不是主体也不是客体，而是人和物之间的一种特殊的过度存在，包含着潜在生理活性、生命特征，“具有成长为新生儿的能力”</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16"/>
      </w:r>
      <w:r>
        <w:rPr>
          <w:rStyle w:val="12"/>
          <w:rFonts w:ascii="Times New Roman" w:hAnsi="Times New Roman"/>
          <w:color w:val="000000"/>
          <w:sz w:val="18"/>
          <w:szCs w:val="21"/>
        </w:rPr>
        <w:t>]</w:t>
      </w:r>
      <w:r>
        <w:rPr>
          <w:rFonts w:hint="eastAsia" w:ascii="Times New Roman" w:hAnsi="Times New Roman"/>
          <w:color w:val="000000"/>
          <w:szCs w:val="21"/>
        </w:rPr>
        <w:t>因而拥有“受特别尊敬”</w:t>
      </w:r>
      <w:r>
        <w:rPr>
          <w:rFonts w:ascii="Times New Roman" w:hAnsi="Times New Roman"/>
          <w:color w:val="000000"/>
          <w:szCs w:val="21"/>
        </w:rPr>
        <w:t xml:space="preserve"> </w:t>
      </w:r>
      <w:r>
        <w:rPr>
          <w:rFonts w:hint="eastAsia" w:ascii="Times New Roman" w:hAnsi="Times New Roman"/>
          <w:color w:val="000000"/>
          <w:szCs w:val="21"/>
        </w:rPr>
        <w:t>的地位。美国</w:t>
      </w:r>
      <w:r>
        <w:rPr>
          <w:rFonts w:ascii="Times New Roman" w:hAnsi="Times New Roman"/>
          <w:color w:val="000000"/>
          <w:szCs w:val="21"/>
        </w:rPr>
        <w:t>Davis</w:t>
      </w:r>
      <w:r>
        <w:rPr>
          <w:rFonts w:hint="eastAsia" w:ascii="Times New Roman" w:hAnsi="Times New Roman"/>
          <w:color w:val="000000"/>
          <w:szCs w:val="21"/>
        </w:rPr>
        <w:t>诉</w:t>
      </w:r>
      <w:r>
        <w:rPr>
          <w:rFonts w:ascii="Times New Roman" w:hAnsi="Times New Roman"/>
          <w:color w:val="000000"/>
          <w:szCs w:val="21"/>
        </w:rPr>
        <w:t>Davis</w:t>
      </w:r>
      <w:r>
        <w:rPr>
          <w:rFonts w:hint="eastAsia" w:ascii="Times New Roman" w:hAnsi="Times New Roman"/>
          <w:color w:val="000000"/>
          <w:szCs w:val="21"/>
        </w:rPr>
        <w:t>案三审中即采用该种理论，将胚胎定义为人与物之间特殊的过渡物。</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ascii="Times New Roman" w:hAnsi="Times New Roman"/>
          <w:color w:val="000000"/>
          <w:szCs w:val="21"/>
        </w:rPr>
      </w:pPr>
      <w:r>
        <w:rPr>
          <w:rFonts w:hint="eastAsia" w:ascii="Times New Roman" w:hAnsi="Times New Roman"/>
          <w:color w:val="000000"/>
          <w:szCs w:val="21"/>
        </w:rPr>
        <w:t>在美国法中，中介说往往采取“准财产说”</w:t>
      </w:r>
      <w:r>
        <w:rPr>
          <w:rFonts w:ascii="Times New Roman" w:hAnsi="Times New Roman"/>
          <w:color w:val="000000"/>
          <w:szCs w:val="21"/>
        </w:rPr>
        <w:t xml:space="preserve"> </w:t>
      </w:r>
      <w:r>
        <w:rPr>
          <w:rFonts w:hint="eastAsia" w:ascii="Times New Roman" w:hAnsi="Times New Roman"/>
          <w:color w:val="000000"/>
          <w:szCs w:val="21"/>
        </w:rPr>
        <w:t>的形式。“准财产权”在美国法中用法极广。母亲对生下的死胎的权利、配子提供者对冷冻受精胎胚的权利、一个人对有线电视信号的权利都属于“准财产权”。这个术语运用于人的意义上</w:t>
      </w:r>
      <w:r>
        <w:rPr>
          <w:rFonts w:ascii="Times New Roman" w:hAnsi="Times New Roman"/>
          <w:color w:val="000000"/>
          <w:szCs w:val="21"/>
        </w:rPr>
        <w:t xml:space="preserve">, </w:t>
      </w:r>
      <w:r>
        <w:rPr>
          <w:rFonts w:hint="eastAsia" w:ascii="Times New Roman" w:hAnsi="Times New Roman"/>
          <w:color w:val="000000"/>
          <w:szCs w:val="21"/>
        </w:rPr>
        <w:t>它是所有人不对之享有完全的所有权的财产。而运用于物的语境中时，指所有人对其的权利不具有对世性，只具有对人性。</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17"/>
      </w:r>
      <w:r>
        <w:rPr>
          <w:rStyle w:val="12"/>
          <w:rFonts w:ascii="Times New Roman" w:hAnsi="Times New Roman"/>
          <w:color w:val="000000"/>
          <w:sz w:val="18"/>
          <w:szCs w:val="21"/>
        </w:rPr>
        <w:t>]</w:t>
      </w:r>
      <w:r>
        <w:rPr>
          <w:rFonts w:hint="eastAsia" w:ascii="Times New Roman" w:hAnsi="Times New Roman"/>
          <w:color w:val="000000"/>
          <w:szCs w:val="21"/>
        </w:rPr>
        <w:t>其实质是：把一种涉及人格利益的东西贴上财产的标签</w:t>
      </w:r>
      <w:r>
        <w:rPr>
          <w:rFonts w:ascii="Times New Roman" w:hAnsi="Times New Roman"/>
          <w:color w:val="000000"/>
          <w:szCs w:val="21"/>
        </w:rPr>
        <w:t xml:space="preserve">, </w:t>
      </w:r>
      <w:r>
        <w:rPr>
          <w:rFonts w:hint="eastAsia" w:ascii="Times New Roman" w:hAnsi="Times New Roman"/>
          <w:color w:val="000000"/>
          <w:szCs w:val="21"/>
        </w:rPr>
        <w:t>同时被用来指称许多只代表财产利益的客体，因此在实践中易造成误解。而美国</w:t>
      </w:r>
      <w:r>
        <w:rPr>
          <w:rFonts w:ascii="Times New Roman" w:hAnsi="Times New Roman"/>
          <w:color w:val="000000"/>
          <w:szCs w:val="21"/>
        </w:rPr>
        <w:t>Doris and Del Zio v.Columbia Pr  esbyterian Hospital</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18"/>
      </w:r>
      <w:r>
        <w:rPr>
          <w:rStyle w:val="12"/>
          <w:rFonts w:ascii="Times New Roman" w:hAnsi="Times New Roman"/>
          <w:color w:val="000000"/>
          <w:sz w:val="18"/>
          <w:szCs w:val="21"/>
        </w:rPr>
        <w:t>]</w:t>
      </w:r>
      <w:r>
        <w:rPr>
          <w:rFonts w:hint="eastAsia" w:ascii="Times New Roman" w:hAnsi="Times New Roman"/>
          <w:color w:val="000000"/>
          <w:szCs w:val="21"/>
        </w:rPr>
        <w:t>一案，即采用了这一学说，并以此为据赔偿原告精神损失费。</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ascii="宋体" w:cs="宋体"/>
          <w:b/>
          <w:bCs/>
          <w:color w:val="000000"/>
          <w:sz w:val="24"/>
        </w:rPr>
      </w:pPr>
      <w:r>
        <w:rPr>
          <w:rFonts w:hint="eastAsia" w:ascii="宋体" w:hAnsi="宋体" w:cs="宋体"/>
          <w:b/>
          <w:bCs/>
          <w:color w:val="000000"/>
          <w:sz w:val="24"/>
        </w:rPr>
        <w:t>（二）评析主体说和客体说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ascii="宋体" w:cs="宋体"/>
          <w:bCs/>
          <w:color w:val="000000"/>
          <w:szCs w:val="21"/>
        </w:rPr>
      </w:pPr>
      <w:r>
        <w:rPr>
          <w:rFonts w:ascii="宋体" w:hAnsi="宋体" w:cs="宋体"/>
          <w:b/>
          <w:bCs/>
          <w:color w:val="000000"/>
          <w:sz w:val="24"/>
        </w:rPr>
        <w:t xml:space="preserve">  </w:t>
      </w:r>
      <w:r>
        <w:rPr>
          <w:rFonts w:ascii="宋体" w:hAnsi="宋体" w:cs="宋体"/>
          <w:b/>
          <w:bCs/>
          <w:color w:val="000000"/>
          <w:szCs w:val="21"/>
        </w:rPr>
        <w:t xml:space="preserve">  </w:t>
      </w:r>
      <w:r>
        <w:rPr>
          <w:rFonts w:ascii="宋体" w:hAnsi="宋体" w:cs="宋体"/>
          <w:bCs/>
          <w:color w:val="000000"/>
          <w:szCs w:val="21"/>
        </w:rPr>
        <w:t>1.</w:t>
      </w:r>
      <w:r>
        <w:rPr>
          <w:rFonts w:hint="eastAsia" w:ascii="宋体" w:hAnsi="宋体" w:cs="宋体"/>
          <w:bCs/>
          <w:color w:val="000000"/>
          <w:szCs w:val="21"/>
        </w:rPr>
        <w:t>主体说的局限性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olor w:val="000000"/>
          <w:szCs w:val="21"/>
        </w:rPr>
      </w:pPr>
      <w:r>
        <w:rPr>
          <w:rFonts w:hint="eastAsia" w:ascii="Times New Roman" w:hAnsi="Times New Roman"/>
          <w:color w:val="000000"/>
          <w:szCs w:val="21"/>
        </w:rPr>
        <w:t>首先，冷冻胚胎只是孕育成生命的一种可能性，是潜在的生命，而非真实生命，两者存在本质上的不同。本质上冷冻胚胎没有独立的人格，更没有反映人的本质的自我意识，不符合生命的本质特性。其次，从法人说的重点在于说明冷冻胚胎权利的有限性，其实质与有限自然人说并无二致。另外，如果承认其为主体会产生诸多困境：放弃亦或是销毁了冷冻胚胎，就构成了犯罪；胚胎干细胞医学研究将被禁止从而牺牲许多已出生而身患疾病的人口重获健康的机会；人有自由发展的权利，而冷冻胚胎这种技术则延迟了胚胎正常发育的时间，此种技术身而不合法；我国在法律上的人的数量也将不可胜数。从当前现实看，父母决定堕胎并不违法，况且除了医疗堕胎还有自然流产的方法，此种危害胎儿权利的行为都尚未受到法律的苛责，举重以明轻，冷冻胚胎的抛弃或者销毁更加不需要遭受追责，从而冷冻胚胎可以成为主体的现实性大打折扣。</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ascii="宋体" w:cs="宋体"/>
          <w:bCs/>
          <w:color w:val="000000"/>
          <w:szCs w:val="21"/>
        </w:rPr>
      </w:pPr>
      <w:r>
        <w:rPr>
          <w:rFonts w:ascii="宋体" w:hAnsi="宋体" w:cs="宋体"/>
          <w:b/>
          <w:bCs/>
          <w:color w:val="000000"/>
          <w:szCs w:val="21"/>
        </w:rPr>
        <w:t xml:space="preserve">  </w:t>
      </w:r>
      <w:r>
        <w:rPr>
          <w:rFonts w:ascii="宋体" w:hAnsi="宋体" w:cs="宋体"/>
          <w:bCs/>
          <w:color w:val="000000"/>
          <w:szCs w:val="21"/>
        </w:rPr>
        <w:t xml:space="preserve">  2.</w:t>
      </w:r>
      <w:r>
        <w:rPr>
          <w:rFonts w:hint="eastAsia" w:ascii="宋体" w:hAnsi="宋体" w:cs="宋体"/>
          <w:bCs/>
          <w:color w:val="000000"/>
          <w:szCs w:val="21"/>
        </w:rPr>
        <w:t>客体说的局限性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left"/>
        <w:textAlignment w:val="auto"/>
        <w:outlineLvl w:val="9"/>
        <w:rPr>
          <w:rFonts w:ascii="Times New Roman" w:hAnsi="Times New Roman"/>
          <w:color w:val="000000"/>
          <w:szCs w:val="21"/>
        </w:rPr>
      </w:pPr>
      <w:r>
        <w:rPr>
          <w:rFonts w:ascii="Times New Roman" w:hAnsi="Times New Roman"/>
          <w:color w:val="000000"/>
          <w:szCs w:val="21"/>
        </w:rPr>
        <w:t xml:space="preserve">    </w:t>
      </w:r>
      <w:r>
        <w:rPr>
          <w:rFonts w:hint="eastAsia" w:ascii="Times New Roman" w:hAnsi="Times New Roman"/>
          <w:color w:val="000000"/>
          <w:szCs w:val="21"/>
        </w:rPr>
        <w:t>客体说的缺陷亦是显而易见：财产说仅将冷冻胚胎看作民法中规定的普通物否定了冷冻胚胎的潜在生命属性。私生活利益说只考虑到了配子提供者的权利问题，没有考虑到受精胎胚的权利问题，略显片面。而伦理物说又突出了冷冻胚胎的双重属性的同时又侧重于物的特性，具有合理之处，然而似乎又有偏向中介说之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ascii="Times New Roman" w:hAnsi="Times New Roman"/>
          <w:bCs/>
          <w:color w:val="000000"/>
          <w:szCs w:val="21"/>
        </w:rPr>
      </w:pPr>
      <w:r>
        <w:rPr>
          <w:rFonts w:ascii="Times New Roman" w:hAnsi="Times New Roman"/>
          <w:b/>
          <w:bCs/>
          <w:color w:val="000000"/>
          <w:szCs w:val="21"/>
        </w:rPr>
        <w:t xml:space="preserve"> </w:t>
      </w:r>
      <w:r>
        <w:rPr>
          <w:rFonts w:ascii="Times New Roman" w:hAnsi="Times New Roman"/>
          <w:bCs/>
          <w:color w:val="000000"/>
          <w:szCs w:val="21"/>
        </w:rPr>
        <w:t xml:space="preserve">   3.</w:t>
      </w:r>
      <w:r>
        <w:rPr>
          <w:rFonts w:hint="eastAsia" w:ascii="Times New Roman" w:hAnsi="Times New Roman"/>
          <w:bCs/>
          <w:color w:val="000000"/>
          <w:szCs w:val="21"/>
        </w:rPr>
        <w:t>突破人、物二元理论框架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olor w:val="000000"/>
          <w:szCs w:val="21"/>
        </w:rPr>
      </w:pPr>
      <w:r>
        <w:rPr>
          <w:rFonts w:hint="eastAsia" w:ascii="Times New Roman" w:hAnsi="Times New Roman"/>
          <w:color w:val="000000"/>
          <w:szCs w:val="21"/>
        </w:rPr>
        <w:t>主体说、客体说的理念来源于罗马法上的人、物二元框架理论，对事物的二分法决定了，胚胎要么是权利主体，要么是权利客体。不过，目前很多法国法学家认为，从法律上的人、物二分法中走出来是可能的。</w:t>
      </w:r>
      <w:r>
        <w:rPr>
          <w:rFonts w:ascii="Times New Roman" w:hAnsi="Times New Roman"/>
          <w:color w:val="000000"/>
          <w:szCs w:val="21"/>
        </w:rPr>
        <w:t>M. Herzog-Evans</w:t>
      </w:r>
      <w:r>
        <w:rPr>
          <w:rFonts w:hint="eastAsia" w:ascii="Times New Roman" w:hAnsi="Times New Roman"/>
          <w:color w:val="000000"/>
          <w:szCs w:val="21"/>
        </w:rPr>
        <w:t>指出：“不管我们的制度遵循什么样的‘人类’概念解释，胚胎都绝对是一个真正的人类学意义上的人（</w:t>
      </w:r>
      <w:r>
        <w:rPr>
          <w:rFonts w:ascii="Times New Roman" w:hAnsi="Times New Roman"/>
          <w:color w:val="000000"/>
          <w:szCs w:val="21"/>
        </w:rPr>
        <w:t>une personne humaine</w:t>
      </w:r>
      <w:r>
        <w:rPr>
          <w:rFonts w:hint="eastAsia" w:ascii="Times New Roman" w:hAnsi="Times New Roman"/>
          <w:color w:val="000000"/>
          <w:szCs w:val="21"/>
        </w:rPr>
        <w:t>）。”</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19"/>
      </w:r>
      <w:r>
        <w:rPr>
          <w:rStyle w:val="12"/>
          <w:rFonts w:ascii="Times New Roman" w:hAnsi="Times New Roman"/>
          <w:color w:val="000000"/>
          <w:sz w:val="18"/>
          <w:szCs w:val="21"/>
        </w:rPr>
        <w:t>]</w:t>
      </w:r>
      <w:r>
        <w:rPr>
          <w:rFonts w:hint="eastAsia" w:ascii="Times New Roman" w:hAnsi="Times New Roman"/>
          <w:color w:val="000000"/>
          <w:szCs w:val="21"/>
        </w:rPr>
        <w:t>这一观点几乎无人反对，然而其是否可以因此而当然地可以成为法律意义上的人，具有法律人格，成为权力义务的承担者，则无定论。有学者认为“法律人格的缺失，表明法律并未承认人的本质，正如对于物或动物那样认定。胚胎法律人格的否认，是对其作为人（</w:t>
      </w:r>
      <w:r>
        <w:rPr>
          <w:rFonts w:ascii="Times New Roman" w:hAnsi="Times New Roman"/>
          <w:color w:val="000000"/>
          <w:szCs w:val="21"/>
        </w:rPr>
        <w:t>Homme</w:t>
      </w:r>
      <w:r>
        <w:rPr>
          <w:rFonts w:hint="eastAsia" w:ascii="Times New Roman" w:hAnsi="Times New Roman"/>
          <w:color w:val="000000"/>
          <w:szCs w:val="21"/>
        </w:rPr>
        <w:t>）的状态的否认”</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20"/>
      </w:r>
      <w:r>
        <w:rPr>
          <w:rStyle w:val="12"/>
          <w:rFonts w:ascii="Times New Roman" w:hAnsi="Times New Roman"/>
          <w:color w:val="000000"/>
          <w:sz w:val="18"/>
          <w:szCs w:val="21"/>
        </w:rPr>
        <w:t>]</w:t>
      </w:r>
      <w:r>
        <w:rPr>
          <w:rFonts w:hint="eastAsia" w:ascii="Times New Roman" w:hAnsi="Times New Roman"/>
          <w:color w:val="000000"/>
          <w:szCs w:val="21"/>
        </w:rPr>
        <w:t>。也有学者持相反观点，认为人格（</w:t>
      </w:r>
      <w:r>
        <w:rPr>
          <w:rFonts w:ascii="Times New Roman" w:hAnsi="Times New Roman"/>
          <w:color w:val="000000"/>
          <w:szCs w:val="21"/>
        </w:rPr>
        <w:t>humanit</w:t>
      </w:r>
      <w:r>
        <w:rPr>
          <w:rFonts w:hint="eastAsia" w:ascii="Times New Roman" w:hAnsi="Times New Roman"/>
          <w:color w:val="000000"/>
          <w:szCs w:val="21"/>
        </w:rPr>
        <w:t>é）并非就是法律人格，应当区分人类学人格（</w:t>
      </w:r>
      <w:r>
        <w:rPr>
          <w:rFonts w:ascii="Times New Roman" w:hAnsi="Times New Roman"/>
          <w:color w:val="000000"/>
          <w:szCs w:val="21"/>
        </w:rPr>
        <w:t>personalite humaine</w:t>
      </w:r>
      <w:r>
        <w:rPr>
          <w:rFonts w:hint="eastAsia" w:ascii="Times New Roman" w:hAnsi="Times New Roman"/>
          <w:color w:val="000000"/>
          <w:szCs w:val="21"/>
        </w:rPr>
        <w:t>）和法律人格（</w:t>
      </w:r>
      <w:r>
        <w:rPr>
          <w:rFonts w:ascii="Times New Roman" w:hAnsi="Times New Roman"/>
          <w:color w:val="000000"/>
          <w:szCs w:val="21"/>
        </w:rPr>
        <w:t>personnalit</w:t>
      </w:r>
      <w:r>
        <w:rPr>
          <w:rFonts w:hint="eastAsia" w:ascii="Times New Roman" w:hAnsi="Times New Roman"/>
          <w:color w:val="000000"/>
          <w:szCs w:val="21"/>
        </w:rPr>
        <w:t>é</w:t>
      </w:r>
      <w:r>
        <w:rPr>
          <w:rFonts w:ascii="Times New Roman" w:hAnsi="Times New Roman"/>
          <w:color w:val="000000"/>
          <w:szCs w:val="21"/>
        </w:rPr>
        <w:t xml:space="preserve"> juridique</w:t>
      </w:r>
      <w:r>
        <w:rPr>
          <w:rFonts w:hint="eastAsia" w:ascii="Times New Roman" w:hAnsi="Times New Roman"/>
          <w:color w:val="000000"/>
          <w:szCs w:val="21"/>
        </w:rPr>
        <w:t>）。</w:t>
      </w:r>
      <w:r>
        <w:rPr>
          <w:rFonts w:ascii="Times New Roman" w:hAnsi="Times New Roman"/>
          <w:color w:val="000000"/>
          <w:szCs w:val="21"/>
        </w:rPr>
        <w:t xml:space="preserve">P. Murat </w:t>
      </w:r>
      <w:r>
        <w:rPr>
          <w:rFonts w:hint="eastAsia" w:ascii="Times New Roman" w:hAnsi="Times New Roman"/>
          <w:color w:val="000000"/>
          <w:szCs w:val="21"/>
        </w:rPr>
        <w:t>就此解释说，“孕育中的胚胎仅仅是一个生物学意义上的人和他不是法律主体二者之间，并不必然存在冲突；这种立场是理性选择的表达。”</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21"/>
      </w:r>
      <w:r>
        <w:rPr>
          <w:rStyle w:val="12"/>
          <w:rFonts w:ascii="Times New Roman" w:hAnsi="Times New Roman"/>
          <w:color w:val="000000"/>
          <w:sz w:val="18"/>
          <w:szCs w:val="21"/>
        </w:rPr>
        <w:t>]</w:t>
      </w:r>
      <w:r>
        <w:rPr>
          <w:rFonts w:hint="eastAsia" w:ascii="Times New Roman" w:hAnsi="Times New Roman"/>
          <w:color w:val="000000"/>
          <w:szCs w:val="21"/>
        </w:rPr>
        <w:t>最典型的例证是在古罗马，尽管奴隶不是法律意义上的人，未被承认有任何权利，然而，主人无权任意处置他，而忽视其作为生物人具有人性的一面。主人若是肆意妄为，会受到监察官的制裁。罗马奴隶的法律地位，无疑可以带给我们启发，从而有可能破解胚胎的法律地位难题。</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22"/>
      </w:r>
      <w:r>
        <w:rPr>
          <w:rStyle w:val="12"/>
          <w:rFonts w:ascii="Times New Roman" w:hAnsi="Times New Roman"/>
          <w:color w:val="000000"/>
          <w:sz w:val="18"/>
          <w:szCs w:val="21"/>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s="宋体"/>
          <w:color w:val="000000"/>
          <w:szCs w:val="21"/>
          <w:shd w:val="clear" w:color="auto" w:fill="FFFFFF"/>
        </w:rPr>
      </w:pPr>
      <w:r>
        <w:rPr>
          <w:rFonts w:hint="eastAsia" w:ascii="Times New Roman" w:hAnsi="Times New Roman"/>
          <w:color w:val="000000"/>
          <w:szCs w:val="21"/>
        </w:rPr>
        <w:t>放眼当今之社会现实，科技日新月异，生物技术、医学水平蒸蒸日上。例如，人造子宫技术正在不断突破，</w:t>
      </w:r>
      <w:r>
        <w:rPr>
          <w:rFonts w:hint="eastAsia" w:ascii="Times New Roman" w:hAnsi="Times New Roman" w:cs="宋体"/>
          <w:color w:val="000000"/>
          <w:szCs w:val="21"/>
          <w:shd w:val="clear" w:color="auto" w:fill="FFFFFF"/>
        </w:rPr>
        <w:t>美籍匈牙利未来学家佐尔坦</w:t>
      </w:r>
      <w:r>
        <w:rPr>
          <w:rFonts w:ascii="Times New Roman" w:hAnsi="Times New Roman" w:cs="宋体"/>
          <w:color w:val="000000"/>
          <w:szCs w:val="21"/>
          <w:shd w:val="clear" w:color="auto" w:fill="FFFFFF"/>
        </w:rPr>
        <w:t>-</w:t>
      </w:r>
      <w:r>
        <w:rPr>
          <w:rFonts w:hint="eastAsia" w:ascii="Times New Roman" w:hAnsi="Times New Roman" w:cs="宋体"/>
          <w:color w:val="000000"/>
          <w:szCs w:val="21"/>
          <w:shd w:val="clear" w:color="auto" w:fill="FFFFFF"/>
        </w:rPr>
        <w:t>伊什特万</w:t>
      </w:r>
      <w:r>
        <w:rPr>
          <w:rFonts w:ascii="Times New Roman" w:hAnsi="Times New Roman" w:cs="宋体"/>
          <w:color w:val="000000"/>
          <w:szCs w:val="21"/>
          <w:shd w:val="clear" w:color="auto" w:fill="FFFFFF"/>
        </w:rPr>
        <w:t>(Zoltan Istvan)</w:t>
      </w:r>
      <w:r>
        <w:rPr>
          <w:rFonts w:hint="eastAsia" w:ascii="Times New Roman" w:hAnsi="Times New Roman" w:cs="宋体"/>
          <w:color w:val="000000"/>
          <w:szCs w:val="21"/>
          <w:shd w:val="clear" w:color="auto" w:fill="FFFFFF"/>
        </w:rPr>
        <w:t>认为，未来</w:t>
      </w:r>
      <w:r>
        <w:rPr>
          <w:rFonts w:ascii="Times New Roman" w:hAnsi="Times New Roman" w:cs="宋体"/>
          <w:color w:val="000000"/>
          <w:szCs w:val="21"/>
          <w:shd w:val="clear" w:color="auto" w:fill="FFFFFF"/>
        </w:rPr>
        <w:t>20</w:t>
      </w:r>
      <w:r>
        <w:rPr>
          <w:rFonts w:hint="eastAsia" w:ascii="Times New Roman" w:hAnsi="Times New Roman" w:cs="宋体"/>
          <w:color w:val="000000"/>
          <w:szCs w:val="21"/>
          <w:shd w:val="clear" w:color="auto" w:fill="FFFFFF"/>
        </w:rPr>
        <w:t>年内，这项技术将准备好使用，</w:t>
      </w:r>
      <w:r>
        <w:rPr>
          <w:rFonts w:ascii="Times New Roman" w:hAnsi="Times New Roman" w:cs="宋体"/>
          <w:color w:val="000000"/>
          <w:szCs w:val="21"/>
          <w:shd w:val="clear" w:color="auto" w:fill="FFFFFF"/>
        </w:rPr>
        <w:t>30</w:t>
      </w:r>
      <w:r>
        <w:rPr>
          <w:rFonts w:hint="eastAsia" w:ascii="Times New Roman" w:hAnsi="Times New Roman" w:cs="宋体"/>
          <w:color w:val="000000"/>
          <w:szCs w:val="21"/>
          <w:shd w:val="clear" w:color="auto" w:fill="FFFFFF"/>
        </w:rPr>
        <w:t>年内将广泛投入使用。</w:t>
      </w:r>
      <w:r>
        <w:rPr>
          <w:rStyle w:val="12"/>
          <w:rFonts w:ascii="Times New Roman" w:hAnsi="Times New Roman" w:cs="宋体"/>
          <w:color w:val="000000"/>
          <w:sz w:val="18"/>
          <w:szCs w:val="21"/>
          <w:shd w:val="clear" w:color="auto" w:fill="FFFFFF"/>
        </w:rPr>
        <w:t>[</w:t>
      </w:r>
      <w:r>
        <w:rPr>
          <w:rStyle w:val="12"/>
          <w:rFonts w:ascii="Times New Roman" w:hAnsi="Times New Roman" w:cs="宋体"/>
          <w:color w:val="000000"/>
          <w:sz w:val="18"/>
          <w:szCs w:val="21"/>
          <w:shd w:val="clear" w:color="auto" w:fill="FFFFFF"/>
        </w:rPr>
        <w:footnoteReference w:id="123"/>
      </w:r>
      <w:r>
        <w:rPr>
          <w:rStyle w:val="12"/>
          <w:rFonts w:ascii="Times New Roman" w:hAnsi="Times New Roman" w:cs="宋体"/>
          <w:color w:val="000000"/>
          <w:sz w:val="18"/>
          <w:szCs w:val="21"/>
          <w:shd w:val="clear" w:color="auto" w:fill="FFFFFF"/>
        </w:rPr>
        <w:t>]</w:t>
      </w:r>
      <w:r>
        <w:rPr>
          <w:rFonts w:hint="eastAsia" w:ascii="Times New Roman" w:hAnsi="Times New Roman" w:cs="宋体"/>
          <w:color w:val="000000"/>
          <w:szCs w:val="21"/>
          <w:shd w:val="clear" w:color="auto" w:fill="FFFFFF"/>
        </w:rPr>
        <w:t>若此项技术足够成熟，可以预测结合冷冻胚胎技术，在实验室诞生婴儿并非无法想象。</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olor w:val="000000"/>
          <w:szCs w:val="21"/>
        </w:rPr>
      </w:pPr>
      <w:r>
        <w:rPr>
          <w:rFonts w:hint="eastAsia" w:ascii="Times New Roman" w:hAnsi="Times New Roman" w:cs="宋体"/>
          <w:color w:val="000000"/>
          <w:szCs w:val="21"/>
          <w:shd w:val="clear" w:color="auto" w:fill="FFFFFF"/>
        </w:rPr>
        <w:t>科技不断革新，社会不断发展，法学的发展也势必随之发生巨大变革。采用更加宽容和客观的态度看待冷冻胚胎的法律属性，突破人与物的二元结构未尝不是适应发展的一种良好现象。</w:t>
      </w:r>
    </w:p>
    <w:p>
      <w:pPr>
        <w:keepNext w:val="0"/>
        <w:keepLines w:val="0"/>
        <w:pageBreakBefore w:val="0"/>
        <w:widowControl w:val="0"/>
        <w:numPr>
          <w:ilvl w:val="0"/>
          <w:numId w:val="11"/>
        </w:numPr>
        <w:kinsoku/>
        <w:wordWrap/>
        <w:overflowPunct/>
        <w:topLinePunct w:val="0"/>
        <w:autoSpaceDE/>
        <w:autoSpaceDN/>
        <w:bidi w:val="0"/>
        <w:adjustRightInd/>
        <w:snapToGrid/>
        <w:spacing w:line="288" w:lineRule="auto"/>
        <w:ind w:left="0" w:leftChars="0" w:right="0" w:rightChars="0"/>
        <w:textAlignment w:val="auto"/>
        <w:outlineLvl w:val="9"/>
        <w:rPr>
          <w:rFonts w:ascii="Times New Roman" w:hAnsi="Times New Roman"/>
          <w:b/>
          <w:bCs/>
          <w:color w:val="000000"/>
          <w:sz w:val="24"/>
        </w:rPr>
      </w:pPr>
      <w:r>
        <w:rPr>
          <w:rFonts w:hint="eastAsia" w:ascii="Times New Roman" w:hAnsi="Times New Roman"/>
          <w:b/>
          <w:bCs/>
          <w:color w:val="000000"/>
          <w:sz w:val="24"/>
        </w:rPr>
        <w:t>中介说的现实性、灵活性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olor w:val="000000"/>
          <w:szCs w:val="21"/>
        </w:rPr>
      </w:pPr>
      <w:r>
        <w:rPr>
          <w:rFonts w:hint="eastAsia" w:ascii="Times New Roman" w:hAnsi="Times New Roman"/>
          <w:color w:val="000000"/>
          <w:szCs w:val="21"/>
        </w:rPr>
        <w:t>中介说避开了主体说和客体说的局限，提倡建立“人</w:t>
      </w:r>
      <w:r>
        <w:rPr>
          <w:rFonts w:ascii="Times New Roman" w:hAnsi="Times New Roman"/>
          <w:color w:val="000000"/>
          <w:szCs w:val="21"/>
        </w:rPr>
        <w:t>——</w:t>
      </w:r>
      <w:r>
        <w:rPr>
          <w:rFonts w:hint="eastAsia" w:ascii="Times New Roman" w:hAnsi="Times New Roman"/>
          <w:color w:val="000000"/>
          <w:szCs w:val="21"/>
        </w:rPr>
        <w:t>中介</w:t>
      </w:r>
      <w:r>
        <w:rPr>
          <w:rFonts w:ascii="Times New Roman" w:hAnsi="Times New Roman"/>
          <w:color w:val="000000"/>
          <w:szCs w:val="21"/>
        </w:rPr>
        <w:t>——</w:t>
      </w:r>
      <w:r>
        <w:rPr>
          <w:rFonts w:hint="eastAsia" w:ascii="Times New Roman" w:hAnsi="Times New Roman"/>
          <w:color w:val="000000"/>
          <w:szCs w:val="21"/>
        </w:rPr>
        <w:t>物的三极处理模式”</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24"/>
      </w:r>
      <w:r>
        <w:rPr>
          <w:rStyle w:val="12"/>
          <w:rFonts w:ascii="Times New Roman" w:hAnsi="Times New Roman"/>
          <w:color w:val="000000"/>
          <w:sz w:val="18"/>
          <w:szCs w:val="21"/>
        </w:rPr>
        <w:t>]</w:t>
      </w:r>
      <w:r>
        <w:rPr>
          <w:rFonts w:hint="eastAsia" w:ascii="Times New Roman" w:hAnsi="Times New Roman"/>
          <w:color w:val="000000"/>
          <w:szCs w:val="21"/>
        </w:rPr>
        <w:t>，将“具有成长为新生儿的能力的特殊地位”的冷冻胚胎视为人与物的过渡阶段，中和了是对单纯的主体认定和单纯的客体认定，也契合了冷冻胚胎客观上存在的人格和物的双重属性，显然具有现实性和灵活性。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olor w:val="000000"/>
          <w:szCs w:val="21"/>
        </w:rPr>
      </w:pPr>
      <w:r>
        <w:rPr>
          <w:rFonts w:hint="eastAsia" w:ascii="Times New Roman" w:hAnsi="Times New Roman"/>
          <w:color w:val="000000"/>
          <w:szCs w:val="21"/>
        </w:rPr>
        <w:t>民法的作用就是保障平等主体的人身及财产权益，而财产权益的产生本就是因为人的利用而愈加凸显，二者存在天然的联系。随着商品经济的发展与科技的进步，二者联系的表现也越来越明显，人格商品化问题、冷冻胚胎问题不断涌现，造成理论上巨大的争论，但其实质都是过分强调人身与财产的界限，实际上承认物与人之间过渡状态，对这类状态加以特殊对待有利于问题的解决。</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ascii="Times New Roman" w:hAnsi="Times New Roman"/>
          <w:color w:val="000000"/>
          <w:szCs w:val="21"/>
        </w:rPr>
      </w:pPr>
      <w:r>
        <w:rPr>
          <w:rFonts w:ascii="Times New Roman" w:hAnsi="Times New Roman"/>
          <w:color w:val="000000"/>
          <w:szCs w:val="21"/>
        </w:rPr>
        <w:t xml:space="preserve">    </w:t>
      </w:r>
      <w:r>
        <w:rPr>
          <w:rFonts w:ascii="Times New Roman" w:hAnsi="Times New Roman"/>
          <w:bCs/>
          <w:color w:val="000000"/>
          <w:szCs w:val="21"/>
        </w:rPr>
        <w:t>1.</w:t>
      </w:r>
      <w:r>
        <w:rPr>
          <w:rFonts w:hint="eastAsia" w:ascii="Times New Roman" w:hAnsi="Times New Roman"/>
          <w:bCs/>
          <w:color w:val="000000"/>
          <w:szCs w:val="21"/>
        </w:rPr>
        <w:t>冷冻胚胎含有物的特性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ascii="Times New Roman" w:hAnsi="Times New Roman"/>
          <w:color w:val="000000"/>
          <w:szCs w:val="21"/>
        </w:rPr>
      </w:pPr>
      <w:r>
        <w:rPr>
          <w:rFonts w:ascii="Times New Roman" w:hAnsi="Times New Roman"/>
          <w:color w:val="000000"/>
          <w:szCs w:val="21"/>
        </w:rPr>
        <w:t xml:space="preserve">    </w:t>
      </w:r>
      <w:r>
        <w:rPr>
          <w:rFonts w:hint="eastAsia" w:ascii="Times New Roman" w:hAnsi="Times New Roman"/>
          <w:color w:val="000000"/>
          <w:szCs w:val="21"/>
        </w:rPr>
        <w:t>冷冻胚胎符合传统民法学上“物”的认定标准。第一，冷冻胚胎是指，将经过试管培育技术得到的胚胎，存置于零下</w:t>
      </w:r>
      <w:r>
        <w:rPr>
          <w:rFonts w:ascii="Times New Roman" w:hAnsi="Times New Roman"/>
          <w:color w:val="000000"/>
          <w:szCs w:val="21"/>
        </w:rPr>
        <w:t>196</w:t>
      </w:r>
      <w:r>
        <w:rPr>
          <w:rFonts w:hint="eastAsia" w:ascii="Times New Roman" w:hAnsi="Times New Roman"/>
          <w:color w:val="000000"/>
          <w:szCs w:val="21"/>
        </w:rPr>
        <w:t>℃的液氮环境，符合物出于“身体之外”的条件。梁慧星教授主编的《民法典草案》中第</w:t>
      </w:r>
      <w:r>
        <w:rPr>
          <w:rFonts w:ascii="Times New Roman" w:hAnsi="Times New Roman"/>
          <w:color w:val="000000"/>
          <w:szCs w:val="21"/>
        </w:rPr>
        <w:t>99</w:t>
      </w:r>
      <w:r>
        <w:rPr>
          <w:rFonts w:hint="eastAsia" w:ascii="Times New Roman" w:hAnsi="Times New Roman"/>
          <w:color w:val="000000"/>
          <w:szCs w:val="21"/>
        </w:rPr>
        <w:t>条规定，“自然人的器官、血液、骨髓、组织、精子、卵子等，以不违背公共秩序与善良风俗为限，可以成为民事权利客体。”梁教授指出该规定是“考虑到科学技术的发展，特别是医学上的器官移植技术、人工生殖技术的发展”</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25"/>
      </w:r>
      <w:r>
        <w:rPr>
          <w:rStyle w:val="12"/>
          <w:rFonts w:ascii="Times New Roman" w:hAnsi="Times New Roman"/>
          <w:color w:val="000000"/>
          <w:sz w:val="18"/>
          <w:szCs w:val="21"/>
        </w:rPr>
        <w:t>]</w:t>
      </w:r>
      <w:r>
        <w:rPr>
          <w:rFonts w:hint="eastAsia" w:ascii="Times New Roman" w:hAnsi="Times New Roman"/>
          <w:color w:val="000000"/>
          <w:szCs w:val="21"/>
        </w:rPr>
        <w:t>，同理，冷冻胚胎也具有存在于身体之外的特征。第二，冷冻胚胎是高科技的产物，由专业机构保存，具有“可支配性”。第三，冷冻胚胎的目的是植入母体孕育生命，“具有一定的价值或使用价值，能满足人类社会生活上的需要”。第四，</w:t>
      </w:r>
      <w:r>
        <w:rPr>
          <w:rFonts w:ascii="Times New Roman" w:hAnsi="Times New Roman"/>
          <w:color w:val="000000"/>
          <w:szCs w:val="21"/>
        </w:rPr>
        <w:t>.</w:t>
      </w:r>
      <w:r>
        <w:rPr>
          <w:rFonts w:hint="eastAsia" w:ascii="Times New Roman" w:hAnsi="Times New Roman"/>
          <w:color w:val="000000"/>
          <w:szCs w:val="21"/>
        </w:rPr>
        <w:t>冷冻胚胎从始至终是一种“有形体”。</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ascii="Times New Roman" w:hAnsi="Times New Roman"/>
          <w:bCs/>
          <w:color w:val="000000"/>
          <w:szCs w:val="21"/>
        </w:rPr>
      </w:pPr>
      <w:r>
        <w:rPr>
          <w:rFonts w:ascii="Times New Roman" w:hAnsi="Times New Roman"/>
          <w:b/>
          <w:bCs/>
          <w:color w:val="000000"/>
          <w:szCs w:val="21"/>
        </w:rPr>
        <w:t xml:space="preserve">   </w:t>
      </w:r>
      <w:r>
        <w:rPr>
          <w:rFonts w:ascii="Times New Roman" w:hAnsi="Times New Roman"/>
          <w:bCs/>
          <w:color w:val="000000"/>
          <w:szCs w:val="21"/>
        </w:rPr>
        <w:t xml:space="preserve"> 2.</w:t>
      </w:r>
      <w:r>
        <w:rPr>
          <w:rFonts w:hint="eastAsia" w:ascii="Times New Roman" w:hAnsi="Times New Roman"/>
          <w:bCs/>
          <w:color w:val="000000"/>
          <w:szCs w:val="21"/>
        </w:rPr>
        <w:t>冷冻胚胎内含的人格属性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ascii="Times New Roman" w:hAnsi="Times New Roman"/>
          <w:bCs/>
          <w:color w:val="000000"/>
          <w:szCs w:val="21"/>
        </w:rPr>
      </w:pPr>
      <w:r>
        <w:rPr>
          <w:rFonts w:hint="eastAsia" w:ascii="Times New Roman" w:hAnsi="Times New Roman"/>
          <w:bCs/>
          <w:color w:val="000000"/>
          <w:szCs w:val="21"/>
        </w:rPr>
        <w:t>（</w:t>
      </w:r>
      <w:r>
        <w:rPr>
          <w:rFonts w:ascii="Times New Roman" w:hAnsi="Times New Roman"/>
          <w:bCs/>
          <w:color w:val="000000"/>
          <w:szCs w:val="21"/>
        </w:rPr>
        <w:t>1</w:t>
      </w:r>
      <w:r>
        <w:rPr>
          <w:rFonts w:hint="eastAsia" w:ascii="Times New Roman" w:hAnsi="Times New Roman"/>
          <w:bCs/>
          <w:color w:val="000000"/>
          <w:szCs w:val="21"/>
        </w:rPr>
        <w:t>）对于生命的尊重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ascii="Times New Roman" w:hAnsi="Times New Roman"/>
          <w:color w:val="000000"/>
          <w:szCs w:val="21"/>
        </w:rPr>
      </w:pPr>
      <w:r>
        <w:rPr>
          <w:rFonts w:hint="eastAsia" w:ascii="Times New Roman" w:hAnsi="Times New Roman"/>
          <w:color w:val="000000"/>
          <w:szCs w:val="21"/>
        </w:rPr>
        <w:t>生命的意义在于传承，而胚胎是每一个个体生命的初级阶段。人类胚胎具有人类延续和生存的目的性，具有人的全部遗传信息，有潜在将来发育成人的能力，从生存目的论来看，它已经具有人的生命形式和意义。</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26"/>
      </w:r>
      <w:r>
        <w:rPr>
          <w:rStyle w:val="12"/>
          <w:rFonts w:ascii="Times New Roman" w:hAnsi="Times New Roman"/>
          <w:color w:val="000000"/>
          <w:sz w:val="18"/>
          <w:szCs w:val="21"/>
        </w:rPr>
        <w:t>]</w:t>
      </w:r>
      <w:r>
        <w:rPr>
          <w:rFonts w:hint="eastAsia" w:ascii="Times New Roman" w:hAnsi="Times New Roman"/>
          <w:color w:val="000000"/>
          <w:szCs w:val="21"/>
        </w:rPr>
        <w:t>据统计，冷冻胚胎复苏临床妊娠率为</w:t>
      </w:r>
      <w:r>
        <w:rPr>
          <w:rFonts w:ascii="Times New Roman" w:hAnsi="Times New Roman"/>
          <w:color w:val="000000"/>
          <w:szCs w:val="21"/>
        </w:rPr>
        <w:t>48.28%</w:t>
      </w:r>
      <w:r>
        <w:rPr>
          <w:rFonts w:hint="eastAsia" w:ascii="Times New Roman" w:hAnsi="Times New Roman"/>
          <w:color w:val="000000"/>
          <w:szCs w:val="21"/>
        </w:rPr>
        <w:t>，囊胚冷冻复苏临床妊娠率为</w:t>
      </w:r>
      <w:r>
        <w:rPr>
          <w:rFonts w:ascii="Times New Roman" w:hAnsi="Times New Roman"/>
          <w:color w:val="000000"/>
          <w:szCs w:val="21"/>
        </w:rPr>
        <w:t>63.48%</w:t>
      </w:r>
      <w:r>
        <w:rPr>
          <w:rFonts w:hint="eastAsia" w:ascii="Times New Roman" w:hAnsi="Times New Roman"/>
          <w:color w:val="000000"/>
          <w:szCs w:val="21"/>
        </w:rPr>
        <w:t>，如此这般的比例证明了冷冻胚胎，尤其是唤醒后的冷冻胚胎发育为真正的生命体的可能性很大。从而胚胎也就内含了人的尊严，是一个人所应当具有的伦理地位和道德权利的最初源头。</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ascii="Times New Roman" w:hAnsi="Times New Roman"/>
          <w:color w:val="000000"/>
          <w:szCs w:val="21"/>
        </w:rPr>
      </w:pPr>
      <w:r>
        <w:rPr>
          <w:rFonts w:hint="eastAsia" w:ascii="Times New Roman" w:hAnsi="Times New Roman"/>
          <w:color w:val="000000"/>
          <w:szCs w:val="21"/>
        </w:rPr>
        <w:t>冷冻胚胎技术一方面帮助有生育困难的人群达成生育的愿望减少其医疗过程中的痛苦，另一方面又一定程度上有利于优生优育，使人们可以保留身体状况最佳时形成的胚胎，同时有助于帕金森病、亨廷顿舞蹈症、阿尔茨海默病等相关疾病的医疗。因此，对于胚胎的尊重与保护，正是表达了对于生命体发展的尊重和对于已有生命个体健康的保护。</w:t>
      </w:r>
    </w:p>
    <w:p>
      <w:pPr>
        <w:keepNext w:val="0"/>
        <w:keepLines w:val="0"/>
        <w:pageBreakBefore w:val="0"/>
        <w:widowControl w:val="0"/>
        <w:numPr>
          <w:ilvl w:val="0"/>
          <w:numId w:val="12"/>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ascii="Times New Roman" w:hAnsi="Times New Roman"/>
          <w:bCs/>
          <w:color w:val="000000"/>
          <w:szCs w:val="21"/>
        </w:rPr>
      </w:pPr>
      <w:r>
        <w:rPr>
          <w:rFonts w:hint="eastAsia" w:ascii="Times New Roman" w:hAnsi="Times New Roman"/>
          <w:bCs/>
          <w:color w:val="000000"/>
          <w:szCs w:val="21"/>
        </w:rPr>
        <w:t>对于生育自主决定的人格利益的尊重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olor w:val="000000"/>
          <w:szCs w:val="21"/>
        </w:rPr>
      </w:pPr>
      <w:r>
        <w:rPr>
          <w:rFonts w:hint="eastAsia" w:ascii="Times New Roman" w:hAnsi="Times New Roman"/>
          <w:color w:val="000000"/>
          <w:szCs w:val="21"/>
        </w:rPr>
        <w:t>自主决定权是“就与他人无关的事情，自己有决定权”</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27"/>
      </w:r>
      <w:r>
        <w:rPr>
          <w:rStyle w:val="12"/>
          <w:rFonts w:ascii="Times New Roman" w:hAnsi="Times New Roman"/>
          <w:color w:val="000000"/>
          <w:sz w:val="18"/>
          <w:szCs w:val="21"/>
        </w:rPr>
        <w:t>]</w:t>
      </w:r>
      <w:r>
        <w:rPr>
          <w:rFonts w:hint="eastAsia" w:ascii="Times New Roman" w:hAnsi="Times New Roman"/>
          <w:color w:val="000000"/>
          <w:szCs w:val="21"/>
        </w:rPr>
        <w:t>，是“</w:t>
      </w:r>
      <w:r>
        <w:rPr>
          <w:rFonts w:hint="eastAsia" w:ascii="Times New Roman" w:hAnsi="Times New Roman" w:cs="宋体"/>
          <w:color w:val="000000"/>
          <w:szCs w:val="21"/>
        </w:rPr>
        <w:t>人格自由的内容，实现对于具体人格权的补充，保护新型的人格利益”</w:t>
      </w:r>
      <w:r>
        <w:rPr>
          <w:rStyle w:val="12"/>
          <w:rFonts w:ascii="Times New Roman" w:hAnsi="Times New Roman" w:cs="宋体"/>
          <w:color w:val="000000"/>
          <w:sz w:val="18"/>
          <w:szCs w:val="21"/>
        </w:rPr>
        <w:t>[</w:t>
      </w:r>
      <w:r>
        <w:rPr>
          <w:rStyle w:val="12"/>
          <w:rFonts w:ascii="Times New Roman" w:hAnsi="Times New Roman" w:cs="宋体"/>
          <w:color w:val="000000"/>
          <w:sz w:val="18"/>
          <w:szCs w:val="21"/>
        </w:rPr>
        <w:footnoteReference w:id="128"/>
      </w:r>
      <w:r>
        <w:rPr>
          <w:rStyle w:val="12"/>
          <w:rFonts w:ascii="Times New Roman" w:hAnsi="Times New Roman" w:cs="宋体"/>
          <w:color w:val="000000"/>
          <w:sz w:val="18"/>
          <w:szCs w:val="21"/>
        </w:rPr>
        <w:t>]</w:t>
      </w:r>
      <w:r>
        <w:rPr>
          <w:rFonts w:hint="eastAsia" w:ascii="Times New Roman" w:hAnsi="Times New Roman" w:cs="宋体"/>
          <w:color w:val="000000"/>
          <w:szCs w:val="21"/>
        </w:rPr>
        <w:t>。在法律明确规定自主决定权之前，自主决定是包括在一般人格权的人格自由之中的人格利益。</w:t>
      </w:r>
      <w:r>
        <w:rPr>
          <w:rFonts w:hint="eastAsia" w:ascii="Times New Roman" w:hAnsi="Times New Roman"/>
          <w:color w:val="000000"/>
          <w:szCs w:val="21"/>
        </w:rPr>
        <w:t>由于冷冻胚胎问题中的胚胎是在体外受精、培育的，此时妇女掌握其身体的利益不存在，剩下的只有双方自主决定“是否愿意成为父母的权利”</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29"/>
      </w:r>
      <w:r>
        <w:rPr>
          <w:rStyle w:val="12"/>
          <w:rFonts w:ascii="Times New Roman" w:hAnsi="Times New Roman"/>
          <w:color w:val="000000"/>
          <w:sz w:val="18"/>
          <w:szCs w:val="21"/>
        </w:rPr>
        <w:t>]</w:t>
      </w:r>
      <w:r>
        <w:rPr>
          <w:rFonts w:hint="eastAsia" w:ascii="Times New Roman" w:hAnsi="Times New Roman"/>
          <w:color w:val="000000"/>
          <w:szCs w:val="21"/>
        </w:rPr>
        <w:t>。美国罗伊诉韦德案（</w:t>
      </w:r>
      <w:r>
        <w:rPr>
          <w:rFonts w:ascii="Times New Roman" w:hAnsi="Times New Roman"/>
          <w:color w:val="000000"/>
          <w:szCs w:val="21"/>
        </w:rPr>
        <w:t>Roe v. Wade</w:t>
      </w:r>
      <w:r>
        <w:rPr>
          <w:rFonts w:hint="eastAsia" w:ascii="Times New Roman" w:hAnsi="Times New Roman"/>
          <w:color w:val="000000"/>
          <w:szCs w:val="21"/>
        </w:rPr>
        <w:t>）</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30"/>
      </w:r>
      <w:r>
        <w:rPr>
          <w:rStyle w:val="12"/>
          <w:rFonts w:ascii="Times New Roman" w:hAnsi="Times New Roman"/>
          <w:color w:val="000000"/>
          <w:sz w:val="18"/>
          <w:szCs w:val="21"/>
        </w:rPr>
        <w:t>]</w:t>
      </w:r>
      <w:r>
        <w:rPr>
          <w:rFonts w:hint="eastAsia" w:ascii="Times New Roman" w:hAnsi="Times New Roman"/>
          <w:color w:val="000000"/>
          <w:szCs w:val="21"/>
        </w:rPr>
        <w:t>确认了堕胎自由属于个人自主决定的范围。胎儿是否出生尚且可以由夫妻双方自主选择，则举重以明轻，冷冻胚胎更应该是夫妻二人自主决定权的载体，具体表现为自主决定生育或不生育的权利。田纳西州</w:t>
      </w:r>
      <w:r>
        <w:rPr>
          <w:rFonts w:ascii="Times New Roman" w:hAnsi="Times New Roman" w:cs="宋体"/>
          <w:color w:val="000000"/>
          <w:szCs w:val="21"/>
        </w:rPr>
        <w:t>Davis</w:t>
      </w:r>
      <w:r>
        <w:rPr>
          <w:rFonts w:hint="eastAsia" w:ascii="Times New Roman" w:hAnsi="Times New Roman" w:cs="宋体"/>
          <w:color w:val="000000"/>
          <w:szCs w:val="21"/>
        </w:rPr>
        <w:t>诉</w:t>
      </w:r>
      <w:r>
        <w:rPr>
          <w:rFonts w:ascii="Times New Roman" w:hAnsi="Times New Roman" w:cs="宋体"/>
          <w:color w:val="000000"/>
          <w:szCs w:val="21"/>
        </w:rPr>
        <w:t>Davis</w:t>
      </w:r>
      <w:r>
        <w:rPr>
          <w:rFonts w:hint="eastAsia" w:ascii="Times New Roman" w:hAnsi="Times New Roman" w:cs="宋体"/>
          <w:color w:val="000000"/>
          <w:szCs w:val="21"/>
        </w:rPr>
        <w:t>案三审判决中法院就引用了这种观点，认为生育自主决定权属于个人隐私的范畴，联邦宪法或者州宪法都应给予尊重与保护，</w:t>
      </w:r>
      <w:r>
        <w:rPr>
          <w:rFonts w:hint="eastAsia" w:ascii="Times New Roman" w:hAnsi="Times New Roman"/>
          <w:color w:val="000000"/>
          <w:szCs w:val="21"/>
        </w:rPr>
        <w:t>德国冷存精子销毁案的判决也印证了自主决定权的内容，其中提到“《德国民法》第</w:t>
      </w:r>
      <w:r>
        <w:rPr>
          <w:rFonts w:ascii="Times New Roman" w:hAnsi="Times New Roman"/>
          <w:color w:val="000000"/>
          <w:szCs w:val="21"/>
        </w:rPr>
        <w:t>823</w:t>
      </w:r>
      <w:r>
        <w:rPr>
          <w:rFonts w:hint="eastAsia" w:ascii="Times New Roman" w:hAnsi="Times New Roman"/>
          <w:color w:val="000000"/>
          <w:szCs w:val="21"/>
        </w:rPr>
        <w:t>条第</w:t>
      </w:r>
      <w:r>
        <w:rPr>
          <w:rFonts w:ascii="Times New Roman" w:hAnsi="Times New Roman"/>
          <w:color w:val="000000"/>
          <w:szCs w:val="21"/>
        </w:rPr>
        <w:t>1</w:t>
      </w:r>
      <w:r>
        <w:rPr>
          <w:rFonts w:hint="eastAsia" w:ascii="Times New Roman" w:hAnsi="Times New Roman"/>
          <w:color w:val="000000"/>
          <w:szCs w:val="21"/>
        </w:rPr>
        <w:t>款“因故意或者过失不法侵害他人生命、身体、健康、自由、所有权或者其他权利者，对他人因此而产生的损害负赔偿义务”保护的客体不是物质，而是人格的存在及其自主决定领域”</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31"/>
      </w:r>
      <w:r>
        <w:rPr>
          <w:rStyle w:val="12"/>
          <w:rFonts w:ascii="Times New Roman" w:hAnsi="Times New Roman"/>
          <w:color w:val="000000"/>
          <w:sz w:val="18"/>
          <w:szCs w:val="21"/>
        </w:rPr>
        <w:t>]</w:t>
      </w:r>
      <w:r>
        <w:rPr>
          <w:rFonts w:hint="eastAsia" w:ascii="Times New Roman" w:hAnsi="Times New Roman"/>
          <w:color w:val="000000"/>
          <w:szCs w:val="21"/>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Times New Roman" w:hAnsi="Times New Roman" w:cs="宋体"/>
          <w:color w:val="000000"/>
          <w:szCs w:val="21"/>
        </w:rPr>
      </w:pPr>
      <w:r>
        <w:rPr>
          <w:rFonts w:hint="eastAsia" w:ascii="Times New Roman" w:hAnsi="Times New Roman"/>
          <w:color w:val="000000"/>
          <w:szCs w:val="21"/>
        </w:rPr>
        <w:t>自主决定的人格利益受法律保护，在我国的民事立法中也有所体现，如：《婚姻法》中的公民婚姻自主权，《侵权责任法》中的患者自主决定权等。可见，</w:t>
      </w:r>
      <w:r>
        <w:rPr>
          <w:rFonts w:hint="eastAsia" w:ascii="Times New Roman" w:hAnsi="Times New Roman" w:cs="宋体"/>
          <w:color w:val="000000"/>
          <w:szCs w:val="21"/>
        </w:rPr>
        <w:t>冷冻胚胎作为生育自主决定的人格利益具有人格权客体的属性在理论及实践中都能找到依据。</w:t>
      </w:r>
    </w:p>
    <w:p>
      <w:pPr>
        <w:keepNext w:val="0"/>
        <w:keepLines w:val="0"/>
        <w:pageBreakBefore w:val="0"/>
        <w:kinsoku/>
        <w:wordWrap/>
        <w:overflowPunct/>
        <w:topLinePunct w:val="0"/>
        <w:autoSpaceDE/>
        <w:autoSpaceDN/>
        <w:bidi w:val="0"/>
        <w:spacing w:line="240" w:lineRule="auto"/>
        <w:ind w:firstLine="420" w:firstLineChars="200"/>
        <w:textAlignment w:val="auto"/>
        <w:rPr>
          <w:rFonts w:hint="eastAsia" w:ascii="Times New Roman" w:hAnsi="Times New Roman" w:cs="宋体"/>
          <w:color w:val="000000"/>
          <w:szCs w:val="21"/>
        </w:rPr>
      </w:pPr>
    </w:p>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Times New Roman" w:hAnsi="Times New Roman"/>
          <w:color w:val="000000"/>
          <w:szCs w:val="21"/>
        </w:rPr>
      </w:pPr>
      <w:r>
        <w:rPr>
          <w:rFonts w:hint="eastAsia" w:ascii="黑体" w:hAnsi="黑体" w:eastAsia="黑体" w:cs="黑体"/>
          <w:b/>
          <w:bCs/>
          <w:color w:val="000000"/>
          <w:sz w:val="28"/>
          <w:szCs w:val="28"/>
          <w:lang w:val="en-US" w:eastAsia="zh-CN"/>
        </w:rPr>
        <w:t>三、</w:t>
      </w:r>
      <w:r>
        <w:rPr>
          <w:rFonts w:hint="eastAsia" w:ascii="黑体" w:hAnsi="黑体" w:eastAsia="黑体" w:cs="黑体"/>
          <w:b/>
          <w:bCs/>
          <w:color w:val="000000"/>
          <w:sz w:val="28"/>
          <w:szCs w:val="28"/>
        </w:rPr>
        <w:t>中介说视角下冷冻胚胎具体行使规则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olor w:val="000000"/>
          <w:szCs w:val="21"/>
        </w:rPr>
      </w:pPr>
      <w:r>
        <w:rPr>
          <w:rFonts w:hint="eastAsia" w:ascii="Times New Roman" w:hAnsi="Times New Roman"/>
          <w:color w:val="000000"/>
          <w:szCs w:val="21"/>
        </w:rPr>
        <w:t>从当前我国以及其他各国的立法实践，不能得出冷冻胚胎法律属性到底为何的答案，但是中介说显然能给我们更多的启发。并且而从实证法的角度以及结合各种理论与我国国情，我们可以发现对于冷冻胚胎的具体行使规则都应当紧紧围绕其双重属性。</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ascii="Times New Roman" w:hAnsi="Times New Roman"/>
          <w:b/>
          <w:bCs/>
          <w:color w:val="000000"/>
          <w:sz w:val="24"/>
        </w:rPr>
      </w:pPr>
      <w:r>
        <w:rPr>
          <w:rFonts w:hint="eastAsia" w:ascii="Times New Roman" w:hAnsi="Times New Roman"/>
          <w:b/>
          <w:bCs/>
          <w:color w:val="000000"/>
          <w:sz w:val="24"/>
        </w:rPr>
        <w:t>（一）冷冻胚胎具体行使规则之原则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olor w:val="000000"/>
          <w:szCs w:val="21"/>
        </w:rPr>
      </w:pPr>
      <w:r>
        <w:rPr>
          <w:rFonts w:hint="eastAsia" w:ascii="Times New Roman" w:hAnsi="Times New Roman"/>
          <w:color w:val="000000"/>
          <w:szCs w:val="21"/>
        </w:rPr>
        <w:t>关于胚胎的归属问题似乎由于胚胎的法律属性存疑而成为一个巨大的难题，其症结在于承认胚胎所有权人后是否就当然地否定了胚胎的人格属性问题，笔者认为显然二者并不必然等同，突破传统的人、物二元框架，完全可以承认胚胎有所有权人、可以继承，但其具体规则可因其人格属性而区别于普通物的行使规则。</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olor w:val="000000"/>
          <w:szCs w:val="21"/>
        </w:rPr>
      </w:pPr>
      <w:r>
        <w:rPr>
          <w:rFonts w:hint="eastAsia" w:ascii="Times New Roman" w:hAnsi="Times New Roman"/>
          <w:color w:val="000000"/>
          <w:szCs w:val="21"/>
        </w:rPr>
        <w:t>关于冷冻胚胎的规则体系，目前主要有三大路径：英国法上的“双方同意”、美国许多法院采取“合同”路径、美国部分州采用的“利益平衡”路径。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olor w:val="000000"/>
          <w:szCs w:val="21"/>
        </w:rPr>
      </w:pPr>
      <w:r>
        <w:rPr>
          <w:rFonts w:hint="eastAsia" w:ascii="Times New Roman" w:hAnsi="Times New Roman"/>
          <w:color w:val="000000"/>
          <w:szCs w:val="21"/>
        </w:rPr>
        <w:t>英国《人类受精与胚胎学法》采取了“双方同意”的基本原则。该法案指出：“双方同意”中的“双方”是指胚胎的配子提供者；“双方同意”表现为双方签署的具有法律效力的书面文件；并且若提供配子的任何一方撤回同意，则同意书失去法律效力，“双方同意”消失。</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32"/>
      </w:r>
      <w:r>
        <w:rPr>
          <w:rStyle w:val="12"/>
          <w:rFonts w:ascii="Times New Roman" w:hAnsi="Times New Roman"/>
          <w:color w:val="000000"/>
          <w:sz w:val="18"/>
          <w:szCs w:val="21"/>
        </w:rPr>
        <w:t>]</w:t>
      </w:r>
      <w:r>
        <w:rPr>
          <w:rFonts w:hint="eastAsia" w:ascii="Times New Roman" w:hAnsi="Times New Roman"/>
          <w:color w:val="000000"/>
          <w:szCs w:val="21"/>
        </w:rPr>
        <w:t>人工受精本质上是男女双方基于一起养育孩子的愿望而共同从事的一项活动，若一方反悔，则人工受精之目的不能达成，那么活动即应终止。</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olor w:val="000000"/>
          <w:szCs w:val="21"/>
        </w:rPr>
      </w:pPr>
      <w:r>
        <w:rPr>
          <w:rFonts w:hint="eastAsia" w:ascii="Times New Roman" w:hAnsi="Times New Roman"/>
          <w:color w:val="000000"/>
          <w:szCs w:val="21"/>
        </w:rPr>
        <w:t>美国许多州，基于信赖理论，采用了“合同”路径。医疗机构与就诊的夫妇之间通常会签订书面协议来约定对冷冻胚胎的处置，诸如：如果该对夫妇离婚、一方或双方死亡或者他们与该诊所失去联系等情况下，对胚胎处理的方式。通常的处理方式包括：继续存储、销毁、捐赠给其他夫妇或者科研机构。他们认为：达成事前协议有利于避免诉讼，并且避免法院介入家庭生活。</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olor w:val="000000"/>
          <w:szCs w:val="21"/>
        </w:rPr>
      </w:pPr>
      <w:r>
        <w:rPr>
          <w:rFonts w:hint="eastAsia" w:ascii="Times New Roman" w:hAnsi="Times New Roman"/>
          <w:color w:val="000000"/>
          <w:szCs w:val="21"/>
        </w:rPr>
        <w:t>美国少数州采用了“利益平衡”模式。在这一模式里，法院关注的原则是：“执行在试管受精开始时达成的协议，但这一协议受限于任何一方在使用或销毁任何被储存的前胚胎之前改变主意的权利”</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33"/>
      </w:r>
      <w:r>
        <w:rPr>
          <w:rStyle w:val="12"/>
          <w:rFonts w:ascii="Times New Roman" w:hAnsi="Times New Roman"/>
          <w:color w:val="000000"/>
          <w:sz w:val="18"/>
          <w:szCs w:val="21"/>
        </w:rPr>
        <w:t>]</w:t>
      </w:r>
      <w:r>
        <w:rPr>
          <w:rFonts w:hint="eastAsia" w:ascii="Times New Roman" w:hAnsi="Times New Roman"/>
          <w:color w:val="000000"/>
          <w:szCs w:val="21"/>
        </w:rPr>
        <w:t>。法院须在当事人无法达成了合意时衡量各方的相对利益从而做出处置决定。</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olor w:val="000000"/>
          <w:szCs w:val="21"/>
        </w:rPr>
      </w:pPr>
      <w:r>
        <w:rPr>
          <w:rFonts w:hint="eastAsia" w:ascii="Times New Roman" w:hAnsi="Times New Roman"/>
          <w:color w:val="000000"/>
          <w:szCs w:val="21"/>
        </w:rPr>
        <w:t>生育的目的本身就在于传承，而良好的传承依赖于父母双方完整的爱，从儿童利益保护和生育自我决定权益的角度出发，英国法上采用的“双方同意”的路径相较于美国法上的“合同”路径具有优势。利益平衡的原则只有在采取双方同意原则，将会造成明显违背社会伦理时才应当加以考虑。针对双方同意原则可能引发的，以一方否决权为婚姻筹码、冲动放弃胚胎等问题，英国</w:t>
      </w:r>
      <w:r>
        <w:rPr>
          <w:rFonts w:ascii="Times New Roman" w:hAnsi="Times New Roman"/>
          <w:color w:val="000000"/>
          <w:szCs w:val="21"/>
        </w:rPr>
        <w:t>2008</w:t>
      </w:r>
      <w:r>
        <w:rPr>
          <w:rFonts w:hint="eastAsia" w:ascii="Times New Roman" w:hAnsi="Times New Roman"/>
          <w:color w:val="000000"/>
          <w:szCs w:val="21"/>
        </w:rPr>
        <w:t>年修改《人类受精与胚胎学法》规定了</w:t>
      </w:r>
      <w:r>
        <w:rPr>
          <w:rFonts w:ascii="Times New Roman" w:hAnsi="Times New Roman"/>
          <w:color w:val="000000"/>
          <w:szCs w:val="21"/>
        </w:rPr>
        <w:t>12</w:t>
      </w:r>
      <w:r>
        <w:rPr>
          <w:rFonts w:hint="eastAsia" w:ascii="Times New Roman" w:hAnsi="Times New Roman"/>
          <w:color w:val="000000"/>
          <w:szCs w:val="21"/>
        </w:rPr>
        <w:t>月的“冷静期”，规定了“如果是为了解决男女伴侣的生育问题而储存人体胚胎，即使提供配子的一方收回同意书，该胚胎还可以继续被合法地储藏</w:t>
      </w:r>
      <w:r>
        <w:rPr>
          <w:rFonts w:ascii="Times New Roman" w:hAnsi="Times New Roman"/>
          <w:color w:val="000000"/>
          <w:szCs w:val="21"/>
        </w:rPr>
        <w:t>12</w:t>
      </w:r>
      <w:r>
        <w:rPr>
          <w:rFonts w:hint="eastAsia" w:ascii="Times New Roman" w:hAnsi="Times New Roman"/>
          <w:color w:val="000000"/>
          <w:szCs w:val="21"/>
        </w:rPr>
        <w:t>个月，以防配子提供者改变主意。”</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34"/>
      </w:r>
      <w:r>
        <w:rPr>
          <w:rStyle w:val="12"/>
          <w:rFonts w:ascii="Times New Roman" w:hAnsi="Times New Roman"/>
          <w:color w:val="000000"/>
          <w:sz w:val="18"/>
          <w:szCs w:val="21"/>
        </w:rPr>
        <w:t>]</w:t>
      </w:r>
      <w:r>
        <w:rPr>
          <w:rFonts w:hint="eastAsia" w:ascii="Times New Roman" w:hAnsi="Times New Roman"/>
          <w:color w:val="000000"/>
          <w:szCs w:val="21"/>
        </w:rPr>
        <w:t>在此需要特别指出的是，当提供配子的双方中有一方不幸死亡，并且生前并未作出不同意胚胎处置的意思表示，则不影响“双方同意”的存在，除非健在的另一方作出“不同意”的决定。</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olor w:val="000000"/>
          <w:szCs w:val="21"/>
        </w:rPr>
      </w:pPr>
      <w:r>
        <w:rPr>
          <w:rFonts w:hint="eastAsia" w:ascii="Times New Roman" w:hAnsi="Times New Roman"/>
          <w:color w:val="000000"/>
          <w:szCs w:val="21"/>
        </w:rPr>
        <w:t>总的来说，对于配子提供者双方之间关于胚胎的处置应当以双方同意原则为主，利益平衡原则为辅。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ascii="Times New Roman" w:hAnsi="Times New Roman"/>
          <w:b/>
          <w:bCs/>
          <w:color w:val="000000"/>
          <w:sz w:val="28"/>
          <w:szCs w:val="28"/>
        </w:rPr>
      </w:pPr>
      <w:r>
        <w:rPr>
          <w:rFonts w:hint="eastAsia" w:ascii="Times New Roman" w:hAnsi="Times New Roman"/>
          <w:b/>
          <w:bCs/>
          <w:color w:val="000000"/>
          <w:sz w:val="28"/>
          <w:szCs w:val="28"/>
        </w:rPr>
        <w:t>（二）</w:t>
      </w:r>
      <w:r>
        <w:rPr>
          <w:rFonts w:hint="eastAsia" w:ascii="Times New Roman" w:hAnsi="Times New Roman"/>
          <w:b/>
          <w:bCs/>
          <w:color w:val="000000"/>
          <w:sz w:val="24"/>
        </w:rPr>
        <w:t>冷冻胚胎的可继承性及其限制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olor w:val="000000"/>
          <w:szCs w:val="21"/>
        </w:rPr>
      </w:pPr>
      <w:r>
        <w:rPr>
          <w:rFonts w:hint="eastAsia" w:ascii="Times New Roman" w:hAnsi="Times New Roman"/>
          <w:color w:val="000000"/>
          <w:szCs w:val="21"/>
        </w:rPr>
        <w:t>遗传基因的延续性决定了存在于体外的胚胎天然地归属于那些储存胚胎以供自己生育使用的男女伴侣，尽管其权利由于法律法规、公序良俗在一定程度上受到限制。冷冻胚胎的物的属性也决定了其不仅具有所有权人，更加可以被继承。意欲利用冷冻胚胎技术生育的夫妻双方均死亡时，其载有的生育自我决定权益虽然随之消灭。但仍具有潜在的生命特性，其归属与处置人应当区别于普通物。</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ascii="Times New Roman" w:hAnsi="Times New Roman"/>
          <w:bCs/>
          <w:color w:val="000000"/>
          <w:szCs w:val="21"/>
        </w:rPr>
      </w:pPr>
      <w:r>
        <w:rPr>
          <w:rFonts w:ascii="Times New Roman" w:hAnsi="Times New Roman"/>
          <w:b/>
          <w:bCs/>
          <w:color w:val="000000"/>
          <w:szCs w:val="21"/>
        </w:rPr>
        <w:t xml:space="preserve">    </w:t>
      </w:r>
      <w:r>
        <w:rPr>
          <w:rFonts w:ascii="Times New Roman" w:hAnsi="Times New Roman"/>
          <w:bCs/>
          <w:color w:val="000000"/>
          <w:szCs w:val="21"/>
        </w:rPr>
        <w:t>1.</w:t>
      </w:r>
      <w:r>
        <w:rPr>
          <w:rFonts w:hint="eastAsia" w:ascii="Times New Roman" w:hAnsi="Times New Roman"/>
          <w:bCs/>
          <w:color w:val="000000"/>
          <w:szCs w:val="21"/>
        </w:rPr>
        <w:t>继承人对于冷冻胚胎享有受限制的继承权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ascii="Times New Roman" w:hAnsi="Times New Roman" w:cs="宋体"/>
          <w:color w:val="000000"/>
          <w:szCs w:val="21"/>
        </w:rPr>
      </w:pPr>
      <w:r>
        <w:rPr>
          <w:rFonts w:hint="eastAsia" w:ascii="Times New Roman" w:hAnsi="Times New Roman" w:cs="宋体"/>
          <w:color w:val="000000"/>
          <w:szCs w:val="21"/>
        </w:rPr>
        <w:t>冷冻胚胎不仅凝聚了一定的经济价值。对于死亡的夫妻的继承人来讲更具有特殊的意义（在中国背景下冷冻胚胎往往寄托了继承人对死亡夫妇的诚切哀思），但是其继承的不是完整的所有权。首先，不育夫妇生前对冷冻胚胎的权利本身也因其特殊性而受到限制。而继承人更因被继承人内含的自我决定权益的消灭而受到进一步限制。继承人只有占有权（表现为委托保管权）、受限制的处分权（表现为抛弃的权利、法律制度许可下的捐赠权、禁止买卖等）。</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ascii="Times New Roman" w:hAnsi="Times New Roman"/>
          <w:bCs/>
          <w:color w:val="000000"/>
          <w:szCs w:val="21"/>
        </w:rPr>
      </w:pPr>
      <w:r>
        <w:rPr>
          <w:rFonts w:ascii="Times New Roman" w:hAnsi="Times New Roman" w:cs="宋体"/>
          <w:b/>
          <w:bCs/>
          <w:color w:val="000000"/>
          <w:szCs w:val="21"/>
        </w:rPr>
        <w:t xml:space="preserve">   </w:t>
      </w:r>
      <w:r>
        <w:rPr>
          <w:rFonts w:ascii="Times New Roman" w:hAnsi="Times New Roman" w:cs="宋体"/>
          <w:bCs/>
          <w:color w:val="000000"/>
          <w:szCs w:val="21"/>
        </w:rPr>
        <w:t xml:space="preserve"> </w:t>
      </w:r>
      <w:r>
        <w:rPr>
          <w:rFonts w:ascii="Times New Roman" w:hAnsi="Times New Roman"/>
          <w:bCs/>
          <w:color w:val="000000"/>
          <w:szCs w:val="21"/>
        </w:rPr>
        <w:t>2.</w:t>
      </w:r>
      <w:r>
        <w:rPr>
          <w:rFonts w:hint="eastAsia" w:ascii="Times New Roman" w:hAnsi="Times New Roman"/>
          <w:bCs/>
          <w:color w:val="000000"/>
          <w:szCs w:val="21"/>
        </w:rPr>
        <w:t>继承人对冷冻胚胎的受限制的处分权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Style w:val="12"/>
          <w:rFonts w:ascii="Times New Roman" w:hAnsi="Times New Roman"/>
          <w:color w:val="000000"/>
          <w:sz w:val="18"/>
          <w:szCs w:val="21"/>
        </w:rPr>
      </w:pPr>
      <w:r>
        <w:rPr>
          <w:rFonts w:hint="eastAsia" w:ascii="Times New Roman" w:hAnsi="Times New Roman"/>
          <w:color w:val="000000"/>
          <w:szCs w:val="21"/>
        </w:rPr>
        <w:t>冷冻胚胎被继承后，权利归继承人共有，不得分割，不得进行非法处分。如果继承人意见一致，可以保存、抛弃、销毁，捐赠（理论上）。若继承人意见不一致，不得分割，鉴于公益的目的，可由专业的保存机构存储。</w:t>
      </w:r>
      <w:r>
        <w:rPr>
          <w:rStyle w:val="12"/>
          <w:rFonts w:ascii="Times New Roman" w:hAnsi="Times New Roman"/>
          <w:color w:val="000000"/>
          <w:sz w:val="18"/>
          <w:szCs w:val="21"/>
        </w:rPr>
        <w:t>[</w:t>
      </w:r>
      <w:r>
        <w:rPr>
          <w:rStyle w:val="12"/>
          <w:rFonts w:ascii="Times New Roman" w:hAnsi="Times New Roman"/>
          <w:color w:val="000000"/>
          <w:sz w:val="18"/>
          <w:szCs w:val="21"/>
        </w:rPr>
        <w:footnoteReference w:id="135"/>
      </w:r>
      <w:r>
        <w:rPr>
          <w:rStyle w:val="12"/>
          <w:rFonts w:ascii="Times New Roman" w:hAnsi="Times New Roman"/>
          <w:color w:val="000000"/>
          <w:sz w:val="18"/>
          <w:szCs w:val="21"/>
        </w:rPr>
        <w:t>]</w:t>
      </w:r>
    </w:p>
    <w:p>
      <w:pPr>
        <w:keepNext w:val="0"/>
        <w:keepLines w:val="0"/>
        <w:pageBreakBefore w:val="0"/>
        <w:kinsoku/>
        <w:wordWrap/>
        <w:overflowPunct/>
        <w:topLinePunct w:val="0"/>
        <w:autoSpaceDE/>
        <w:autoSpaceDN/>
        <w:bidi w:val="0"/>
        <w:spacing w:line="240" w:lineRule="auto"/>
        <w:ind w:firstLine="360" w:firstLineChars="200"/>
        <w:jc w:val="left"/>
        <w:textAlignment w:val="auto"/>
        <w:rPr>
          <w:rStyle w:val="12"/>
          <w:rFonts w:ascii="Times New Roman" w:hAnsi="Times New Roman"/>
          <w:color w:val="000000"/>
          <w:sz w:val="18"/>
          <w:szCs w:val="21"/>
        </w:rPr>
      </w:pPr>
    </w:p>
    <w:p>
      <w:pPr>
        <w:keepNext w:val="0"/>
        <w:keepLines w:val="0"/>
        <w:pageBreakBefore w:val="0"/>
        <w:numPr>
          <w:ilvl w:val="0"/>
          <w:numId w:val="0"/>
        </w:numPr>
        <w:kinsoku/>
        <w:wordWrap/>
        <w:overflowPunct/>
        <w:topLinePunct w:val="0"/>
        <w:autoSpaceDE/>
        <w:autoSpaceDN/>
        <w:bidi w:val="0"/>
        <w:spacing w:line="240" w:lineRule="auto"/>
        <w:jc w:val="center"/>
        <w:textAlignment w:val="auto"/>
        <w:rPr>
          <w:rFonts w:hint="eastAsia" w:ascii="Times New Roman" w:hAnsi="Times New Roman"/>
          <w:color w:val="000000"/>
          <w:szCs w:val="21"/>
        </w:rPr>
      </w:pPr>
      <w:r>
        <w:rPr>
          <w:rFonts w:hint="eastAsia" w:ascii="黑体" w:hAnsi="黑体" w:eastAsia="黑体" w:cs="黑体"/>
          <w:b/>
          <w:bCs/>
          <w:color w:val="000000"/>
          <w:sz w:val="28"/>
          <w:szCs w:val="28"/>
          <w:lang w:val="en-US" w:eastAsia="zh-CN"/>
        </w:rPr>
        <w:t>四、</w:t>
      </w:r>
      <w:r>
        <w:rPr>
          <w:rFonts w:hint="eastAsia" w:ascii="黑体" w:hAnsi="黑体" w:eastAsia="黑体" w:cs="黑体"/>
          <w:b/>
          <w:bCs/>
          <w:color w:val="000000"/>
          <w:sz w:val="28"/>
          <w:szCs w:val="28"/>
        </w:rPr>
        <w:t>总结</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ascii="Times New Roman" w:hAnsi="Times New Roman"/>
          <w:color w:val="000000"/>
          <w:szCs w:val="21"/>
        </w:rPr>
      </w:pPr>
      <w:r>
        <w:rPr>
          <w:rFonts w:hint="eastAsia" w:ascii="Times New Roman" w:hAnsi="Times New Roman"/>
          <w:color w:val="000000"/>
          <w:szCs w:val="21"/>
        </w:rPr>
        <w:t>冷冻胚胎技术使得体外生殖成功率大增，为生育困难的夫妻带来了福音，但由于其本身的特殊性，给伦理道德、社会秩序、法律环境带来了不小的冲击。而我国立法对于冷冻胚胎的规制尚存空白，对此我们应当比较国外相关立法和理论，结合我国国情尽早完善立法。鼓励实施冷冻胚胎技术的当事人及医疗机构签订事前协议，防患未然。对于当下遇到的纠纷应由法院依据基本法律原理和伦理准则，参考其他国家和地区的立法例，在司法实践中填补法律漏洞。</w:t>
      </w:r>
    </w:p>
    <w:p>
      <w:pPr>
        <w:keepNext w:val="0"/>
        <w:keepLines w:val="0"/>
        <w:pageBreakBefore w:val="0"/>
        <w:kinsoku/>
        <w:wordWrap/>
        <w:overflowPunct/>
        <w:topLinePunct w:val="0"/>
        <w:autoSpaceDE/>
        <w:autoSpaceDN/>
        <w:bidi w:val="0"/>
        <w:spacing w:line="240" w:lineRule="auto"/>
        <w:ind w:firstLine="420" w:firstLineChars="200"/>
        <w:textAlignment w:val="auto"/>
        <w:rPr>
          <w:rFonts w:ascii="Times New Roman" w:hAnsi="Times New Roman"/>
          <w:color w:val="000000"/>
          <w:szCs w:val="21"/>
        </w:rPr>
      </w:pPr>
    </w:p>
    <w:p>
      <w:pPr>
        <w:keepNext w:val="0"/>
        <w:keepLines w:val="0"/>
        <w:pageBreakBefore w:val="0"/>
        <w:kinsoku/>
        <w:wordWrap/>
        <w:overflowPunct/>
        <w:topLinePunct w:val="0"/>
        <w:autoSpaceDE/>
        <w:autoSpaceDN/>
        <w:bidi w:val="0"/>
        <w:spacing w:line="240" w:lineRule="auto"/>
        <w:jc w:val="center"/>
        <w:textAlignment w:val="auto"/>
        <w:rPr>
          <w:rFonts w:ascii="宋体" w:hAnsi="宋体"/>
          <w:color w:val="000000"/>
          <w:szCs w:val="21"/>
        </w:rPr>
      </w:pPr>
      <w:r>
        <w:rPr>
          <w:rFonts w:hint="eastAsia" w:ascii="黑体" w:hAnsi="黑体" w:eastAsia="黑体" w:cs="黑体"/>
          <w:b/>
          <w:bCs/>
          <w:color w:val="000000"/>
          <w:sz w:val="28"/>
          <w:szCs w:val="28"/>
        </w:rPr>
        <w:t>参考文献</w:t>
      </w:r>
    </w:p>
    <w:p>
      <w:pPr>
        <w:keepNext w:val="0"/>
        <w:keepLines w:val="0"/>
        <w:pageBreakBefore w:val="0"/>
        <w:widowControl w:val="0"/>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ascii="宋体"/>
          <w:color w:val="000000"/>
          <w:szCs w:val="21"/>
        </w:rPr>
      </w:pPr>
      <w:r>
        <w:rPr>
          <w:rFonts w:ascii="宋体" w:hAnsi="宋体"/>
          <w:color w:val="000000"/>
          <w:szCs w:val="21"/>
        </w:rPr>
        <w:t xml:space="preserve">[1] </w:t>
      </w:r>
      <w:r>
        <w:rPr>
          <w:rFonts w:hint="eastAsia" w:ascii="宋体" w:hAnsi="宋体"/>
          <w:color w:val="000000"/>
          <w:szCs w:val="21"/>
        </w:rPr>
        <w:t>黄丁全，《医疗法律与生命伦理》，法律出版社，</w:t>
      </w:r>
      <w:r>
        <w:rPr>
          <w:rFonts w:ascii="宋体" w:hAnsi="宋体"/>
          <w:color w:val="000000"/>
          <w:szCs w:val="21"/>
        </w:rPr>
        <w:t>2007</w:t>
      </w:r>
      <w:r>
        <w:rPr>
          <w:rFonts w:hint="eastAsia" w:ascii="宋体" w:hAnsi="宋体"/>
          <w:color w:val="000000"/>
          <w:szCs w:val="21"/>
        </w:rPr>
        <w:t>年版</w:t>
      </w:r>
      <w:r>
        <w:rPr>
          <w:rFonts w:ascii="宋体"/>
          <w:color w:val="000000"/>
          <w:szCs w:val="21"/>
        </w:rPr>
        <w:t>.</w:t>
      </w:r>
    </w:p>
    <w:p>
      <w:pPr>
        <w:keepNext w:val="0"/>
        <w:keepLines w:val="0"/>
        <w:pageBreakBefore w:val="0"/>
        <w:widowControl w:val="0"/>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ascii="宋体"/>
          <w:color w:val="000000"/>
          <w:szCs w:val="21"/>
        </w:rPr>
      </w:pPr>
      <w:r>
        <w:rPr>
          <w:rFonts w:ascii="宋体" w:hAnsi="宋体"/>
          <w:color w:val="000000"/>
          <w:szCs w:val="21"/>
        </w:rPr>
        <w:t xml:space="preserve">[2] </w:t>
      </w:r>
      <w:r>
        <w:rPr>
          <w:rFonts w:hint="eastAsia" w:ascii="宋体" w:hAnsi="宋体"/>
          <w:color w:val="000000"/>
          <w:szCs w:val="21"/>
        </w:rPr>
        <w:t>李昊，冷冻胚胎的法律性质及其处置模式</w:t>
      </w:r>
      <w:r>
        <w:rPr>
          <w:rFonts w:ascii="宋体"/>
          <w:color w:val="000000"/>
          <w:szCs w:val="21"/>
        </w:rPr>
        <w:t>-</w:t>
      </w:r>
      <w:r>
        <w:rPr>
          <w:rFonts w:hint="eastAsia" w:ascii="宋体" w:hAnsi="宋体"/>
          <w:color w:val="000000"/>
          <w:szCs w:val="21"/>
        </w:rPr>
        <w:t>以美国法为中心</w:t>
      </w:r>
      <w:r>
        <w:rPr>
          <w:rFonts w:ascii="宋体" w:hAnsi="宋体"/>
          <w:color w:val="000000"/>
          <w:szCs w:val="21"/>
        </w:rPr>
        <w:t xml:space="preserve"> [J]</w:t>
      </w:r>
      <w:r>
        <w:rPr>
          <w:rFonts w:hint="eastAsia" w:ascii="宋体" w:hAnsi="宋体"/>
          <w:color w:val="000000"/>
          <w:szCs w:val="21"/>
        </w:rPr>
        <w:t>，华东政法大学学报，</w:t>
      </w:r>
      <w:r>
        <w:rPr>
          <w:rFonts w:ascii="宋体" w:hAnsi="宋体"/>
          <w:color w:val="000000"/>
          <w:szCs w:val="21"/>
        </w:rPr>
        <w:t>2015</w:t>
      </w:r>
      <w:r>
        <w:rPr>
          <w:rFonts w:hint="eastAsia" w:ascii="宋体" w:hAnsi="宋体"/>
          <w:color w:val="000000"/>
          <w:szCs w:val="21"/>
        </w:rPr>
        <w:t>年第</w:t>
      </w:r>
      <w:r>
        <w:rPr>
          <w:rFonts w:ascii="宋体" w:hAnsi="宋体"/>
          <w:color w:val="000000"/>
          <w:szCs w:val="21"/>
        </w:rPr>
        <w:t>5</w:t>
      </w:r>
      <w:r>
        <w:rPr>
          <w:rFonts w:hint="eastAsia" w:ascii="宋体" w:hAnsi="宋体"/>
          <w:color w:val="000000"/>
          <w:szCs w:val="21"/>
        </w:rPr>
        <w:t>期</w:t>
      </w:r>
      <w:r>
        <w:rPr>
          <w:rFonts w:ascii="宋体"/>
          <w:color w:val="000000"/>
          <w:szCs w:val="21"/>
        </w:rPr>
        <w:t>.</w:t>
      </w:r>
    </w:p>
    <w:p>
      <w:pPr>
        <w:keepNext w:val="0"/>
        <w:keepLines w:val="0"/>
        <w:pageBreakBefore w:val="0"/>
        <w:widowControl w:val="0"/>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ascii="宋体"/>
          <w:color w:val="000000"/>
          <w:szCs w:val="21"/>
        </w:rPr>
      </w:pPr>
      <w:r>
        <w:rPr>
          <w:rFonts w:ascii="宋体" w:hAnsi="宋体"/>
          <w:color w:val="000000"/>
          <w:szCs w:val="21"/>
        </w:rPr>
        <w:t xml:space="preserve">[3] </w:t>
      </w:r>
      <w:r>
        <w:rPr>
          <w:rFonts w:hint="eastAsia" w:ascii="宋体" w:hAnsi="宋体"/>
          <w:color w:val="000000"/>
          <w:szCs w:val="21"/>
        </w:rPr>
        <w:t>李蕊佚，英国法上的人体胚胎规制体系</w:t>
      </w:r>
      <w:r>
        <w:rPr>
          <w:rFonts w:ascii="宋体" w:hAnsi="宋体"/>
          <w:color w:val="000000"/>
          <w:szCs w:val="21"/>
        </w:rPr>
        <w:t xml:space="preserve"> [J]</w:t>
      </w:r>
      <w:r>
        <w:rPr>
          <w:rFonts w:hint="eastAsia" w:ascii="宋体" w:hAnsi="宋体"/>
          <w:color w:val="000000"/>
          <w:szCs w:val="21"/>
        </w:rPr>
        <w:t>，华东政法大学学报，</w:t>
      </w:r>
      <w:r>
        <w:rPr>
          <w:rFonts w:ascii="宋体" w:hAnsi="宋体"/>
          <w:color w:val="000000"/>
          <w:szCs w:val="21"/>
        </w:rPr>
        <w:t>2015</w:t>
      </w:r>
      <w:r>
        <w:rPr>
          <w:rFonts w:hint="eastAsia" w:ascii="宋体" w:hAnsi="宋体"/>
          <w:color w:val="000000"/>
          <w:szCs w:val="21"/>
        </w:rPr>
        <w:t>年第</w:t>
      </w:r>
      <w:r>
        <w:rPr>
          <w:rFonts w:ascii="宋体" w:hAnsi="宋体"/>
          <w:color w:val="000000"/>
          <w:szCs w:val="21"/>
        </w:rPr>
        <w:t>5</w:t>
      </w:r>
      <w:r>
        <w:rPr>
          <w:rFonts w:hint="eastAsia" w:ascii="宋体" w:hAnsi="宋体"/>
          <w:color w:val="000000"/>
          <w:szCs w:val="21"/>
        </w:rPr>
        <w:t>期</w:t>
      </w:r>
      <w:r>
        <w:rPr>
          <w:rFonts w:ascii="宋体"/>
          <w:color w:val="000000"/>
          <w:szCs w:val="21"/>
        </w:rPr>
        <w:t>.</w:t>
      </w:r>
    </w:p>
    <w:p>
      <w:pPr>
        <w:keepNext w:val="0"/>
        <w:keepLines w:val="0"/>
        <w:pageBreakBefore w:val="0"/>
        <w:widowControl w:val="0"/>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ascii="宋体"/>
          <w:color w:val="000000"/>
          <w:szCs w:val="21"/>
        </w:rPr>
      </w:pPr>
      <w:r>
        <w:rPr>
          <w:rFonts w:ascii="宋体" w:hAnsi="宋体"/>
          <w:color w:val="000000"/>
          <w:szCs w:val="21"/>
        </w:rPr>
        <w:t xml:space="preserve">[4] </w:t>
      </w:r>
      <w:r>
        <w:rPr>
          <w:rFonts w:hint="eastAsia" w:ascii="宋体" w:hAnsi="宋体"/>
          <w:color w:val="000000"/>
          <w:szCs w:val="21"/>
        </w:rPr>
        <w:t>李燕、金根林，冷冻胚胎的权利归属及权利行使规则研究</w:t>
      </w:r>
      <w:r>
        <w:rPr>
          <w:rFonts w:ascii="宋体" w:hAnsi="宋体"/>
          <w:color w:val="000000"/>
          <w:szCs w:val="21"/>
        </w:rPr>
        <w:t xml:space="preserve"> [J]</w:t>
      </w:r>
      <w:r>
        <w:rPr>
          <w:rFonts w:hint="eastAsia" w:ascii="宋体" w:hAnsi="宋体"/>
          <w:color w:val="000000"/>
          <w:szCs w:val="21"/>
        </w:rPr>
        <w:t>，人民司法应用，</w:t>
      </w:r>
      <w:r>
        <w:rPr>
          <w:rFonts w:ascii="宋体" w:hAnsi="宋体"/>
          <w:color w:val="000000"/>
          <w:szCs w:val="21"/>
        </w:rPr>
        <w:t xml:space="preserve"> 2014</w:t>
      </w:r>
      <w:r>
        <w:rPr>
          <w:rFonts w:hint="eastAsia" w:ascii="宋体" w:hAnsi="宋体"/>
          <w:color w:val="000000"/>
          <w:szCs w:val="21"/>
        </w:rPr>
        <w:t>（</w:t>
      </w:r>
      <w:r>
        <w:rPr>
          <w:rFonts w:ascii="宋体" w:hAnsi="宋体"/>
          <w:color w:val="000000"/>
          <w:szCs w:val="21"/>
        </w:rPr>
        <w:t>13</w:t>
      </w:r>
      <w:r>
        <w:rPr>
          <w:rFonts w:hint="eastAsia" w:ascii="宋体" w:hAnsi="宋体"/>
          <w:color w:val="000000"/>
          <w:szCs w:val="21"/>
        </w:rPr>
        <w:t>）</w:t>
      </w:r>
      <w:r>
        <w:rPr>
          <w:rFonts w:ascii="宋体"/>
          <w:color w:val="000000"/>
          <w:szCs w:val="21"/>
        </w:rPr>
        <w:t>.</w:t>
      </w:r>
    </w:p>
    <w:p>
      <w:pPr>
        <w:keepNext w:val="0"/>
        <w:keepLines w:val="0"/>
        <w:pageBreakBefore w:val="0"/>
        <w:widowControl w:val="0"/>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ascii="宋体"/>
          <w:color w:val="000000"/>
          <w:szCs w:val="21"/>
        </w:rPr>
      </w:pPr>
      <w:r>
        <w:rPr>
          <w:rFonts w:ascii="宋体" w:hAnsi="宋体"/>
          <w:color w:val="000000"/>
          <w:szCs w:val="21"/>
        </w:rPr>
        <w:t xml:space="preserve">[5] </w:t>
      </w:r>
      <w:r>
        <w:rPr>
          <w:rFonts w:hint="eastAsia" w:ascii="宋体" w:hAnsi="宋体"/>
          <w:color w:val="000000"/>
          <w:szCs w:val="21"/>
        </w:rPr>
        <w:t>徐国栋，体外受精胎胚的法律地位研究</w:t>
      </w:r>
      <w:r>
        <w:rPr>
          <w:rFonts w:ascii="宋体" w:hAnsi="宋体"/>
          <w:color w:val="000000"/>
          <w:szCs w:val="21"/>
        </w:rPr>
        <w:t xml:space="preserve"> [J]</w:t>
      </w:r>
      <w:r>
        <w:rPr>
          <w:rFonts w:hint="eastAsia" w:ascii="宋体" w:hAnsi="宋体"/>
          <w:color w:val="000000"/>
          <w:szCs w:val="21"/>
        </w:rPr>
        <w:t>，法制与社会发展（双月刊），</w:t>
      </w:r>
      <w:r>
        <w:rPr>
          <w:rFonts w:ascii="宋体" w:hAnsi="宋体"/>
          <w:color w:val="000000"/>
          <w:szCs w:val="21"/>
        </w:rPr>
        <w:t xml:space="preserve"> 2005</w:t>
      </w:r>
      <w:r>
        <w:rPr>
          <w:rFonts w:hint="eastAsia" w:ascii="宋体" w:hAnsi="宋体"/>
          <w:color w:val="000000"/>
          <w:szCs w:val="21"/>
        </w:rPr>
        <w:t>年第</w:t>
      </w:r>
      <w:r>
        <w:rPr>
          <w:rFonts w:ascii="宋体" w:hAnsi="宋体"/>
          <w:color w:val="000000"/>
          <w:szCs w:val="21"/>
        </w:rPr>
        <w:t>5</w:t>
      </w:r>
      <w:r>
        <w:rPr>
          <w:rFonts w:hint="eastAsia" w:ascii="宋体" w:hAnsi="宋体"/>
          <w:color w:val="000000"/>
          <w:szCs w:val="21"/>
        </w:rPr>
        <w:t>期</w:t>
      </w:r>
      <w:r>
        <w:rPr>
          <w:rFonts w:ascii="宋体"/>
          <w:color w:val="000000"/>
          <w:szCs w:val="21"/>
        </w:rPr>
        <w:t>.</w:t>
      </w:r>
    </w:p>
    <w:p>
      <w:pPr>
        <w:keepNext w:val="0"/>
        <w:keepLines w:val="0"/>
        <w:pageBreakBefore w:val="0"/>
        <w:widowControl w:val="0"/>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ascii="宋体"/>
          <w:color w:val="000000"/>
          <w:szCs w:val="21"/>
        </w:rPr>
      </w:pPr>
      <w:r>
        <w:rPr>
          <w:rFonts w:ascii="宋体" w:hAnsi="宋体"/>
          <w:color w:val="000000"/>
          <w:szCs w:val="21"/>
        </w:rPr>
        <w:t xml:space="preserve">[6] </w:t>
      </w:r>
      <w:r>
        <w:rPr>
          <w:rFonts w:hint="eastAsia" w:ascii="宋体" w:hAnsi="宋体"/>
          <w:color w:val="000000"/>
          <w:szCs w:val="21"/>
        </w:rPr>
        <w:t>叶名怡，法国法上的人工胚胎</w:t>
      </w:r>
      <w:r>
        <w:rPr>
          <w:rFonts w:ascii="宋体" w:hAnsi="宋体"/>
          <w:color w:val="000000"/>
          <w:szCs w:val="21"/>
        </w:rPr>
        <w:t xml:space="preserve"> [J]</w:t>
      </w:r>
      <w:r>
        <w:rPr>
          <w:rFonts w:hint="eastAsia" w:ascii="宋体" w:hAnsi="宋体"/>
          <w:color w:val="000000"/>
          <w:szCs w:val="21"/>
        </w:rPr>
        <w:t>，华东政法大学学报，</w:t>
      </w:r>
      <w:r>
        <w:rPr>
          <w:rFonts w:ascii="宋体" w:hAnsi="宋体"/>
          <w:color w:val="000000"/>
          <w:szCs w:val="21"/>
        </w:rPr>
        <w:t>2015</w:t>
      </w:r>
      <w:r>
        <w:rPr>
          <w:rFonts w:hint="eastAsia" w:ascii="宋体" w:hAnsi="宋体"/>
          <w:color w:val="000000"/>
          <w:szCs w:val="21"/>
        </w:rPr>
        <w:t>年第</w:t>
      </w:r>
      <w:r>
        <w:rPr>
          <w:rFonts w:ascii="宋体" w:hAnsi="宋体"/>
          <w:color w:val="000000"/>
          <w:szCs w:val="21"/>
        </w:rPr>
        <w:t>5</w:t>
      </w:r>
      <w:r>
        <w:rPr>
          <w:rFonts w:hint="eastAsia" w:ascii="宋体" w:hAnsi="宋体"/>
          <w:color w:val="000000"/>
          <w:szCs w:val="21"/>
        </w:rPr>
        <w:t>期</w:t>
      </w:r>
      <w:r>
        <w:rPr>
          <w:rFonts w:ascii="宋体"/>
          <w:color w:val="000000"/>
          <w:szCs w:val="21"/>
        </w:rPr>
        <w:t>.</w:t>
      </w:r>
    </w:p>
    <w:p>
      <w:pPr>
        <w:keepNext w:val="0"/>
        <w:keepLines w:val="0"/>
        <w:pageBreakBefore w:val="0"/>
        <w:widowControl w:val="0"/>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ascii="宋体"/>
          <w:color w:val="000000"/>
          <w:szCs w:val="21"/>
        </w:rPr>
      </w:pPr>
      <w:r>
        <w:rPr>
          <w:rFonts w:ascii="宋体" w:hAnsi="宋体"/>
          <w:color w:val="000000"/>
          <w:szCs w:val="21"/>
        </w:rPr>
        <w:t xml:space="preserve">[7] </w:t>
      </w:r>
      <w:r>
        <w:rPr>
          <w:rFonts w:hint="eastAsia" w:ascii="宋体" w:hAnsi="宋体"/>
          <w:color w:val="000000"/>
          <w:szCs w:val="21"/>
        </w:rPr>
        <w:t>周江洪，法制化途中的人工胚胎法律地位</w:t>
      </w:r>
      <w:r>
        <w:rPr>
          <w:rFonts w:ascii="宋体"/>
          <w:color w:val="000000"/>
          <w:szCs w:val="21"/>
        </w:rPr>
        <w:t>-</w:t>
      </w:r>
      <w:r>
        <w:rPr>
          <w:rFonts w:hint="eastAsia" w:ascii="宋体" w:hAnsi="宋体"/>
          <w:color w:val="000000"/>
          <w:szCs w:val="21"/>
        </w:rPr>
        <w:t>日本法状况及其学说简评</w:t>
      </w:r>
      <w:r>
        <w:rPr>
          <w:rFonts w:ascii="宋体" w:hAnsi="宋体"/>
          <w:color w:val="000000"/>
          <w:szCs w:val="21"/>
        </w:rPr>
        <w:t xml:space="preserve"> [J]</w:t>
      </w:r>
      <w:r>
        <w:rPr>
          <w:rFonts w:hint="eastAsia" w:ascii="宋体" w:hAnsi="宋体"/>
          <w:color w:val="000000"/>
          <w:szCs w:val="21"/>
        </w:rPr>
        <w:t>，华东政法大学学报，</w:t>
      </w:r>
      <w:r>
        <w:rPr>
          <w:rFonts w:ascii="宋体" w:hAnsi="宋体"/>
          <w:color w:val="000000"/>
          <w:szCs w:val="21"/>
        </w:rPr>
        <w:t>2015</w:t>
      </w:r>
      <w:r>
        <w:rPr>
          <w:rFonts w:hint="eastAsia" w:ascii="宋体" w:hAnsi="宋体"/>
          <w:color w:val="000000"/>
          <w:szCs w:val="21"/>
        </w:rPr>
        <w:t>年第</w:t>
      </w:r>
      <w:r>
        <w:rPr>
          <w:rFonts w:ascii="宋体" w:hAnsi="宋体"/>
          <w:color w:val="000000"/>
          <w:szCs w:val="21"/>
        </w:rPr>
        <w:t>5</w:t>
      </w:r>
      <w:r>
        <w:rPr>
          <w:rFonts w:hint="eastAsia" w:ascii="宋体" w:hAnsi="宋体"/>
          <w:color w:val="000000"/>
          <w:szCs w:val="21"/>
        </w:rPr>
        <w:t>期</w:t>
      </w:r>
      <w:r>
        <w:rPr>
          <w:rFonts w:ascii="宋体"/>
          <w:color w:val="000000"/>
          <w:szCs w:val="21"/>
        </w:rPr>
        <w:t>.</w:t>
      </w:r>
    </w:p>
    <w:p>
      <w:pPr>
        <w:keepNext w:val="0"/>
        <w:keepLines w:val="0"/>
        <w:pageBreakBefore w:val="0"/>
        <w:kinsoku/>
        <w:wordWrap/>
        <w:overflowPunct/>
        <w:topLinePunct w:val="0"/>
        <w:autoSpaceDE/>
        <w:autoSpaceDN/>
        <w:bidi w:val="0"/>
        <w:spacing w:line="240" w:lineRule="auto"/>
        <w:ind w:left="31680" w:hanging="420" w:hangingChars="200"/>
        <w:jc w:val="right"/>
        <w:textAlignment w:val="auto"/>
        <w:rPr>
          <w:rFonts w:ascii="宋体"/>
          <w:color w:val="000000"/>
          <w:szCs w:val="21"/>
        </w:rPr>
      </w:pPr>
      <w:r>
        <w:rPr>
          <w:rFonts w:ascii="宋体" w:hAnsi="宋体"/>
          <w:color w:val="000000"/>
          <w:szCs w:val="21"/>
        </w:rPr>
        <w:t>(</w:t>
      </w:r>
      <w:r>
        <w:rPr>
          <w:rFonts w:hint="eastAsia" w:ascii="宋体" w:hAnsi="宋体"/>
          <w:color w:val="000000"/>
          <w:szCs w:val="21"/>
        </w:rPr>
        <w:t>责任编辑：袁小冬</w:t>
      </w:r>
      <w:r>
        <w:rPr>
          <w:rFonts w:ascii="宋体" w:hAnsi="宋体"/>
          <w:color w:val="000000"/>
          <w:szCs w:val="21"/>
        </w:rPr>
        <w:t>)</w:t>
      </w: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sectPr>
          <w:headerReference r:id="rId9" w:type="default"/>
          <w:footerReference r:id="rId10" w:type="default"/>
          <w:footnotePr>
            <w:numFmt w:val="decimal"/>
            <w:numRestart w:val="eachPage"/>
          </w:footnotePr>
          <w:type w:val="continuous"/>
          <w:pgSz w:w="11906" w:h="16838"/>
          <w:pgMar w:top="1440" w:right="1800" w:bottom="1440" w:left="1800"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试论行政程序法的立法目的、模式及价值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bCs/>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eastAsia="宋体" w:cs="宋体"/>
          <w:szCs w:val="21"/>
        </w:rPr>
      </w:pPr>
      <w:r>
        <w:rPr>
          <w:rFonts w:hint="eastAsia" w:ascii="宋体" w:hAnsi="宋体" w:eastAsia="宋体" w:cs="宋体"/>
          <w:szCs w:val="21"/>
        </w:rPr>
        <w:t>张旭霞</w:t>
      </w:r>
      <w:r>
        <w:rPr>
          <w:rStyle w:val="12"/>
          <w:rFonts w:hint="eastAsia" w:ascii="宋体" w:hAnsi="宋体" w:eastAsia="宋体" w:cs="宋体"/>
          <w:szCs w:val="21"/>
        </w:rPr>
        <w:footnoteReference w:id="136" w:customMarkFollows="1"/>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eastAsia="宋体" w:cs="宋体"/>
          <w:szCs w:val="21"/>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楷体" w:hAnsi="楷体" w:eastAsia="楷体" w:cs="楷体"/>
          <w:sz w:val="21"/>
          <w:szCs w:val="21"/>
        </w:rPr>
      </w:pPr>
      <w:r>
        <w:rPr>
          <w:rFonts w:hint="eastAsia" w:ascii="宋体" w:hAnsi="宋体" w:eastAsia="宋体" w:cs="宋体"/>
          <w:b/>
          <w:bCs/>
          <w:sz w:val="21"/>
          <w:szCs w:val="21"/>
        </w:rPr>
        <w:t>摘  要：</w:t>
      </w:r>
      <w:r>
        <w:rPr>
          <w:rFonts w:hint="eastAsia" w:ascii="楷体" w:hAnsi="楷体" w:eastAsia="楷体" w:cs="楷体"/>
          <w:sz w:val="21"/>
          <w:szCs w:val="21"/>
        </w:rPr>
        <w:t>行政程序法典化在我国行政法学界已基本达成一种共识，行政程序法典化在我国具有可行性和必要性。而2015年5月新实施的《行政诉讼法》在诉讼目的、受案范围等方面实现了重大突破，但对制定统一行政程序法典的需要未作出回应，再次突显了行政程序法的立法滞后。本文将从行政程序法的立法目的、立法模式以及法律意义三个方面做一解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楷体" w:hAnsi="楷体" w:eastAsia="楷体" w:cs="楷体"/>
          <w:sz w:val="21"/>
          <w:szCs w:val="21"/>
        </w:rPr>
      </w:pPr>
      <w:r>
        <w:rPr>
          <w:rFonts w:hint="eastAsia" w:ascii="宋体" w:hAnsi="宋体" w:eastAsia="宋体" w:cs="宋体"/>
          <w:b/>
          <w:bCs/>
          <w:sz w:val="21"/>
          <w:szCs w:val="21"/>
        </w:rPr>
        <w:t>关键字：</w:t>
      </w:r>
      <w:r>
        <w:rPr>
          <w:rFonts w:hint="eastAsia" w:ascii="楷体" w:hAnsi="楷体" w:eastAsia="楷体" w:cs="楷体"/>
          <w:sz w:val="21"/>
          <w:szCs w:val="21"/>
        </w:rPr>
        <w:t>行政程序  立法目的  法律价值  立法模式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楷体" w:hAnsi="楷体" w:eastAsia="楷体" w:cs="楷体"/>
          <w:szCs w:val="21"/>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Cs w:val="21"/>
        </w:rPr>
      </w:pPr>
      <w:r>
        <w:rPr>
          <w:rFonts w:hint="eastAsia" w:ascii="黑体" w:hAnsi="黑体" w:eastAsia="黑体" w:cs="宋体"/>
          <w:b/>
          <w:sz w:val="28"/>
          <w:szCs w:val="28"/>
          <w:lang w:val="en-US" w:eastAsia="zh-CN"/>
        </w:rPr>
        <w:t>引言</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80" w:firstLineChars="0"/>
        <w:jc w:val="both"/>
        <w:textAlignment w:val="auto"/>
        <w:outlineLvl w:val="9"/>
        <w:rPr>
          <w:rFonts w:hint="eastAsia" w:ascii="宋体" w:hAnsi="宋体" w:eastAsia="宋体" w:cs="宋体"/>
          <w:szCs w:val="21"/>
        </w:rPr>
      </w:pPr>
      <w:r>
        <w:rPr>
          <w:rFonts w:hint="eastAsia" w:ascii="宋体" w:hAnsi="宋体" w:eastAsia="宋体" w:cs="宋体"/>
          <w:szCs w:val="21"/>
        </w:rPr>
        <w:t>行政程序法——规范行政权的基本法，是行政行为被诉至法院后，法院对行政行为进行司法审查的重要裁判依据。在大陆法系国家，行政程序法既包含程序性内容，同时兼具实体性内容，部分承担了行政法法典化的功能。2014年11月1日，第十二届全国人民代表大会常务委员会第十一次会议通过了《关于修改&lt;中华人民共和国行政诉讼法&gt;的决定》，并于2015年5月1日正式实施。本次修改在诉讼目的、受案范围、证据规则等方面都实现了重大突破，但未能及时回应行政法治实践对尽快制定统一行政程序法的立法需求，再次突显了行政程序法的立法滞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0"/>
        <w:textAlignment w:val="auto"/>
        <w:outlineLvl w:val="9"/>
        <w:rPr>
          <w:rFonts w:hint="eastAsia" w:ascii="宋体" w:hAnsi="宋体" w:eastAsia="宋体" w:cs="宋体"/>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center"/>
        <w:textAlignment w:val="auto"/>
        <w:outlineLvl w:val="9"/>
        <w:rPr>
          <w:rFonts w:hint="eastAsia" w:ascii="宋体" w:hAnsi="宋体" w:eastAsia="宋体" w:cs="宋体"/>
          <w:szCs w:val="21"/>
        </w:rPr>
      </w:pPr>
      <w:r>
        <w:rPr>
          <w:rFonts w:hint="eastAsia" w:ascii="黑体" w:hAnsi="黑体" w:eastAsia="黑体" w:cs="宋体"/>
          <w:b/>
          <w:sz w:val="28"/>
          <w:szCs w:val="28"/>
          <w:lang w:val="en-US" w:eastAsia="zh-CN"/>
        </w:rPr>
        <w:t>一、</w:t>
      </w:r>
      <w:r>
        <w:rPr>
          <w:rFonts w:hint="eastAsia" w:ascii="黑体" w:hAnsi="黑体" w:eastAsia="黑体" w:cs="宋体"/>
          <w:b/>
          <w:sz w:val="28"/>
          <w:szCs w:val="28"/>
        </w:rPr>
        <w:t>行政程序法的立法目的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eastAsia="宋体" w:cs="宋体"/>
          <w:szCs w:val="21"/>
        </w:rPr>
        <w:t xml:space="preserve"> </w:t>
      </w:r>
      <w:r>
        <w:rPr>
          <w:rFonts w:hint="eastAsia" w:ascii="宋体" w:hAnsi="宋体" w:cs="宋体"/>
          <w:szCs w:val="21"/>
          <w:lang w:val="en-US" w:eastAsia="zh-CN"/>
        </w:rPr>
        <w:t xml:space="preserve">   </w:t>
      </w:r>
      <w:r>
        <w:rPr>
          <w:rFonts w:hint="eastAsia" w:ascii="宋体" w:hAnsi="宋体" w:eastAsia="宋体" w:cs="宋体"/>
          <w:szCs w:val="21"/>
        </w:rPr>
        <w:t>制定行政程序法的立法目的，在于规范行政权力的运行，保护公民的利益，是立法者基于对行政程序法固有属性的认识及社会发展的需要，旨在通过制定行政程序法达到规范行政权力的行使、提高行政效率的理想效果。</w:t>
      </w:r>
    </w:p>
    <w:p>
      <w:pPr>
        <w:keepNext w:val="0"/>
        <w:keepLines w:val="0"/>
        <w:pageBreakBefore w:val="0"/>
        <w:widowControl w:val="0"/>
        <w:numPr>
          <w:ilvl w:val="0"/>
          <w:numId w:val="13"/>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b/>
          <w:sz w:val="24"/>
        </w:rPr>
      </w:pPr>
      <w:r>
        <w:rPr>
          <w:rFonts w:hint="eastAsia" w:ascii="宋体" w:hAnsi="宋体" w:eastAsia="宋体" w:cs="宋体"/>
          <w:b/>
          <w:sz w:val="24"/>
        </w:rPr>
        <w:t>行政程序法的根本目的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eastAsia="宋体" w:cs="宋体"/>
          <w:szCs w:val="21"/>
        </w:rPr>
        <w:t xml:space="preserve">   </w:t>
      </w:r>
      <w:r>
        <w:rPr>
          <w:rFonts w:hint="eastAsia" w:ascii="宋体" w:hAnsi="宋体" w:cs="宋体"/>
          <w:szCs w:val="21"/>
          <w:lang w:val="en-US" w:eastAsia="zh-CN"/>
        </w:rPr>
        <w:t xml:space="preserve"> </w:t>
      </w:r>
      <w:r>
        <w:rPr>
          <w:rFonts w:hint="eastAsia" w:ascii="宋体" w:hAnsi="宋体" w:eastAsia="宋体" w:cs="宋体"/>
          <w:szCs w:val="21"/>
        </w:rPr>
        <w:t>行政程序法作为行政法的重要组成部分，其根本目的是规范行政权力的公正运行，提高行政效率。法治作为一种治国理政的方略，并非完美无缺，但除此之外，人们很难找到另一种更好的适合现代社会形态的治国方式。法治的核心要义是公权力的善法而行，衡量一国法治实现程度的关键因素是强大的行政权是否依法行使。规定行政权力的程序规则，实现程序法治，应当是所有国家行政程序法共同的立法目的。因此，制定行政程序法的根本目的是规范行政权力的运行，既要防止行政权力的滥用，保护公民的合法权益，又要使得行政机关树立为人民服务的理念，积极的进行行政行为，提高行政效率。在现代社会中，行政职能的内容不仅仅局限于维持安定有序的社会秩序，而更多地要求政府能够为公民提供更多地便利和福利，人们需要行政机关积极行使行政权力，“他们对官僚政治和行政机关无所作为的恐惧在今天更甚于对行政机关滥用权力和专制的恐惧”。</w:t>
      </w:r>
      <w:r>
        <w:rPr>
          <w:rStyle w:val="12"/>
          <w:rFonts w:hint="eastAsia" w:ascii="宋体" w:hAnsi="宋体" w:eastAsia="宋体" w:cs="宋体"/>
          <w:szCs w:val="21"/>
        </w:rPr>
        <w:t>[</w:t>
      </w:r>
      <w:r>
        <w:rPr>
          <w:rStyle w:val="12"/>
          <w:rFonts w:hint="eastAsia" w:ascii="宋体" w:hAnsi="宋体" w:eastAsia="宋体" w:cs="宋体"/>
          <w:szCs w:val="21"/>
        </w:rPr>
        <w:footnoteReference w:id="137"/>
      </w:r>
      <w:r>
        <w:rPr>
          <w:rStyle w:val="12"/>
          <w:rFonts w:hint="eastAsia" w:ascii="宋体" w:hAnsi="宋体" w:eastAsia="宋体" w:cs="宋体"/>
          <w:szCs w:val="21"/>
        </w:rPr>
        <w:t>]</w:t>
      </w:r>
      <w:r>
        <w:rPr>
          <w:rFonts w:hint="eastAsia" w:ascii="宋体" w:hAnsi="宋体" w:eastAsia="宋体" w:cs="宋体"/>
          <w:szCs w:val="21"/>
        </w:rPr>
        <w:t>一个最能为国民提供福祉的政府，是一个积极、公正行使行政权力，树立为人民服务的理念，具有法治思维和依法行政的、高效率的政府。</w:t>
      </w:r>
    </w:p>
    <w:p>
      <w:pPr>
        <w:keepNext w:val="0"/>
        <w:keepLines w:val="0"/>
        <w:pageBreakBefore w:val="0"/>
        <w:widowControl w:val="0"/>
        <w:numPr>
          <w:ilvl w:val="0"/>
          <w:numId w:val="13"/>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b/>
          <w:sz w:val="24"/>
        </w:rPr>
      </w:pPr>
      <w:r>
        <w:rPr>
          <w:rFonts w:hint="eastAsia" w:ascii="宋体" w:hAnsi="宋体" w:eastAsia="宋体" w:cs="宋体"/>
          <w:b/>
          <w:sz w:val="24"/>
        </w:rPr>
        <w:t>行政程序法的直接目的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eastAsia="宋体" w:cs="宋体"/>
          <w:szCs w:val="21"/>
        </w:rPr>
        <w:t xml:space="preserve">  </w:t>
      </w:r>
      <w:r>
        <w:rPr>
          <w:rFonts w:hint="eastAsia" w:ascii="宋体" w:hAnsi="宋体" w:cs="宋体"/>
          <w:szCs w:val="21"/>
          <w:lang w:val="en-US" w:eastAsia="zh-CN"/>
        </w:rPr>
        <w:t xml:space="preserve"> </w:t>
      </w:r>
      <w:r>
        <w:rPr>
          <w:rFonts w:hint="eastAsia" w:ascii="宋体" w:hAnsi="宋体" w:eastAsia="宋体" w:cs="宋体"/>
          <w:szCs w:val="21"/>
        </w:rPr>
        <w:t xml:space="preserve"> 作为不同于其他行政法组成部分的行政程序法，规范行政权力的运行，实现程序法治，是所有国家制定行政程序法共同的立法目的。立法者通过制定行政程序法，构建与本国国情相适应的行政程序规则，从而决定了该国的直接立法目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eastAsia="宋体" w:cs="宋体"/>
          <w:szCs w:val="21"/>
        </w:rPr>
        <w:t xml:space="preserve">  </w:t>
      </w:r>
      <w:r>
        <w:rPr>
          <w:rFonts w:hint="eastAsia" w:ascii="宋体" w:hAnsi="宋体" w:cs="宋体"/>
          <w:szCs w:val="21"/>
          <w:lang w:val="en-US" w:eastAsia="zh-CN"/>
        </w:rPr>
        <w:t xml:space="preserve"> </w:t>
      </w:r>
      <w:r>
        <w:rPr>
          <w:rFonts w:hint="eastAsia" w:ascii="宋体" w:hAnsi="宋体" w:eastAsia="宋体" w:cs="宋体"/>
          <w:szCs w:val="21"/>
        </w:rPr>
        <w:t xml:space="preserve"> 我国行政程序法的直接立法目的是实现行政权力的程序法治，构建统一的、最低限度的公正行政程序制度。</w:t>
      </w:r>
      <w:r>
        <w:rPr>
          <w:rFonts w:ascii="宋体" w:hAnsi="宋体" w:eastAsia="宋体" w:cs="宋体"/>
          <w:szCs w:val="21"/>
        </w:rPr>
        <w:t>”</w:t>
      </w:r>
      <w:r>
        <w:rPr>
          <w:rFonts w:hint="eastAsia" w:ascii="宋体" w:hAnsi="宋体" w:eastAsia="宋体" w:cs="宋体"/>
          <w:szCs w:val="21"/>
        </w:rPr>
        <w:t>最低限度地程序公正标准</w:t>
      </w:r>
      <w:r>
        <w:rPr>
          <w:rFonts w:ascii="宋体" w:hAnsi="宋体" w:eastAsia="宋体" w:cs="宋体"/>
          <w:szCs w:val="21"/>
        </w:rPr>
        <w:t>”</w:t>
      </w:r>
      <w:r>
        <w:rPr>
          <w:rFonts w:hint="eastAsia" w:ascii="宋体" w:hAnsi="宋体" w:eastAsia="宋体" w:cs="宋体"/>
          <w:szCs w:val="21"/>
        </w:rPr>
        <w:t>是实现程序正义的最后一道防线，是程序法治制度的基本要求。“在程序法领域，程序法律制度尽管不能保证程序正义理想得到彻底实现，但应当尽量减少或者克服明显非正义的情况，应该满足一些起码的价值标准。这些标准具有这样的特性:坚持这些价值标准不一定能确保程序公正绝对实现，但不坚持这些价值标准程序肯定是不公正的，是非正义的。这些旨在克服人们不公正感的程序公正标准就构成了实现程序正义必不可少的条件，从而成为一种最低限度的公正程序标准”。</w:t>
      </w:r>
      <w:r>
        <w:rPr>
          <w:rStyle w:val="12"/>
          <w:rFonts w:hint="eastAsia" w:ascii="宋体" w:hAnsi="宋体" w:eastAsia="宋体" w:cs="宋体"/>
          <w:szCs w:val="21"/>
        </w:rPr>
        <w:t>[</w:t>
      </w:r>
      <w:r>
        <w:rPr>
          <w:rStyle w:val="12"/>
          <w:rFonts w:hint="eastAsia" w:ascii="宋体" w:hAnsi="宋体" w:eastAsia="宋体" w:cs="宋体"/>
          <w:szCs w:val="21"/>
        </w:rPr>
        <w:footnoteReference w:id="138"/>
      </w:r>
      <w:r>
        <w:rPr>
          <w:rStyle w:val="12"/>
          <w:rFonts w:hint="eastAsia" w:ascii="宋体" w:hAnsi="宋体" w:eastAsia="宋体" w:cs="宋体"/>
          <w:szCs w:val="21"/>
        </w:rPr>
        <w:t>]</w:t>
      </w:r>
      <w:r>
        <w:rPr>
          <w:rFonts w:hint="eastAsia" w:ascii="宋体" w:hAnsi="宋体" w:eastAsia="宋体" w:cs="宋体"/>
          <w:szCs w:val="21"/>
        </w:rPr>
        <w:t>行政程序领域的最低限度公正程序标准体现为不同的原则，包括：</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eastAsia="宋体" w:cs="宋体"/>
          <w:szCs w:val="21"/>
        </w:rPr>
        <w:t>1、程序公正原则：作出行政行为的程序应当公正；</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eastAsia="宋体" w:cs="宋体"/>
          <w:szCs w:val="21"/>
        </w:rPr>
        <w:t>2、程序公开原则：行政程序应当以公开的方式运行；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eastAsia="宋体" w:cs="宋体"/>
          <w:szCs w:val="21"/>
        </w:rPr>
        <w:t>3、参与原则：受行政程序结果影响的行政相对人应当充分的参与行政决定作出的全过程；</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Cs w:val="21"/>
        </w:rPr>
      </w:pPr>
      <w:r>
        <w:rPr>
          <w:rFonts w:hint="eastAsia" w:ascii="宋体" w:hAnsi="宋体" w:eastAsia="宋体" w:cs="宋体"/>
          <w:szCs w:val="21"/>
        </w:rPr>
        <w:t>4、效率原则：行政机关应当及时、高效率的作出行政行为。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center"/>
        <w:textAlignment w:val="auto"/>
        <w:outlineLvl w:val="9"/>
        <w:rPr>
          <w:rFonts w:hint="eastAsia" w:ascii="宋体" w:hAnsi="宋体" w:eastAsia="宋体" w:cs="宋体"/>
          <w:szCs w:val="21"/>
        </w:rPr>
      </w:pPr>
      <w:r>
        <w:rPr>
          <w:rFonts w:hint="eastAsia" w:ascii="黑体" w:hAnsi="黑体" w:eastAsia="黑体" w:cs="宋体"/>
          <w:b/>
          <w:sz w:val="28"/>
          <w:szCs w:val="28"/>
          <w:lang w:val="en-US" w:eastAsia="zh-CN"/>
        </w:rPr>
        <w:t>二、</w:t>
      </w:r>
      <w:r>
        <w:rPr>
          <w:rFonts w:hint="eastAsia" w:ascii="黑体" w:hAnsi="黑体" w:eastAsia="黑体" w:cs="宋体"/>
          <w:b/>
          <w:sz w:val="28"/>
          <w:szCs w:val="28"/>
        </w:rPr>
        <w:t>行政程序法的立法模式</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cs="宋体"/>
          <w:szCs w:val="21"/>
          <w:lang w:val="en-US" w:eastAsia="zh-CN"/>
        </w:rPr>
        <w:t xml:space="preserve">  </w:t>
      </w:r>
      <w:r>
        <w:rPr>
          <w:rFonts w:hint="eastAsia" w:ascii="宋体" w:hAnsi="宋体" w:eastAsia="宋体" w:cs="宋体"/>
          <w:szCs w:val="21"/>
        </w:rPr>
        <w:t xml:space="preserve"> </w:t>
      </w:r>
      <w:r>
        <w:rPr>
          <w:rFonts w:hint="eastAsia" w:ascii="宋体" w:hAnsi="宋体" w:cs="宋体"/>
          <w:szCs w:val="21"/>
          <w:lang w:val="en-US" w:eastAsia="zh-CN"/>
        </w:rPr>
        <w:t xml:space="preserve"> </w:t>
      </w:r>
      <w:r>
        <w:rPr>
          <w:rFonts w:hint="eastAsia" w:ascii="宋体" w:hAnsi="宋体" w:eastAsia="宋体" w:cs="宋体"/>
          <w:szCs w:val="21"/>
        </w:rPr>
        <w:t>行政程序立法模式是指行政程序法的立法体例是采用统一法典式，还是采用单行法律模式，抑或无独立的程序法而完全与实体法合并的模式。</w:t>
      </w:r>
      <w:r>
        <w:rPr>
          <w:rStyle w:val="12"/>
          <w:rFonts w:hint="eastAsia" w:ascii="宋体" w:hAnsi="宋体" w:eastAsia="宋体" w:cs="宋体"/>
          <w:szCs w:val="21"/>
        </w:rPr>
        <w:t>[</w:t>
      </w:r>
      <w:r>
        <w:rPr>
          <w:rStyle w:val="12"/>
          <w:rFonts w:hint="eastAsia" w:ascii="宋体" w:hAnsi="宋体" w:eastAsia="宋体" w:cs="宋体"/>
          <w:szCs w:val="21"/>
        </w:rPr>
        <w:footnoteReference w:id="139"/>
      </w:r>
      <w:r>
        <w:rPr>
          <w:rStyle w:val="12"/>
          <w:rFonts w:hint="eastAsia" w:ascii="宋体" w:hAnsi="宋体" w:eastAsia="宋体" w:cs="宋体"/>
          <w:szCs w:val="21"/>
        </w:rPr>
        <w:t>]</w:t>
      </w:r>
      <w:r>
        <w:rPr>
          <w:rFonts w:hint="eastAsia" w:ascii="宋体" w:hAnsi="宋体" w:eastAsia="宋体" w:cs="宋体"/>
          <w:szCs w:val="21"/>
        </w:rPr>
        <w:t>立法模式是一个技术性问题，良好的立法模式有利于法典的顺利出台与法典的执行。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eastAsia="宋体" w:cs="宋体"/>
          <w:szCs w:val="21"/>
        </w:rPr>
        <w:t xml:space="preserve">  </w:t>
      </w:r>
      <w:r>
        <w:rPr>
          <w:rFonts w:hint="eastAsia" w:ascii="宋体" w:hAnsi="宋体" w:cs="宋体"/>
          <w:szCs w:val="21"/>
          <w:lang w:val="en-US" w:eastAsia="zh-CN"/>
        </w:rPr>
        <w:t xml:space="preserve"> </w:t>
      </w:r>
      <w:r>
        <w:rPr>
          <w:rFonts w:hint="eastAsia" w:ascii="宋体" w:hAnsi="宋体" w:eastAsia="宋体" w:cs="宋体"/>
          <w:szCs w:val="21"/>
        </w:rPr>
        <w:t xml:space="preserve"> 行政程序法的立法模式具有非常重要的意义及作用，是行政程序法的基础性架构，一个国家的社会历史条件、法治发展状况、公民的法律思维及法律意识、立法传统和技术都会对行政程序法的立法模式产生影响。综合考虑我国的基本国情、法治水平、社会发展现状等各方面的因素，在我国行政程序法立法模式的选择上，应当以采用单独行政程序立法逐步推进法典化的立法模式。</w:t>
      </w:r>
    </w:p>
    <w:p>
      <w:pPr>
        <w:keepNext w:val="0"/>
        <w:keepLines w:val="0"/>
        <w:pageBreakBefore w:val="0"/>
        <w:widowControl w:val="0"/>
        <w:numPr>
          <w:ilvl w:val="0"/>
          <w:numId w:val="14"/>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b/>
          <w:sz w:val="24"/>
        </w:rPr>
      </w:pPr>
      <w:r>
        <w:rPr>
          <w:rFonts w:hint="eastAsia" w:ascii="宋体" w:hAnsi="宋体" w:eastAsia="宋体" w:cs="宋体"/>
          <w:b/>
          <w:sz w:val="24"/>
        </w:rPr>
        <w:t>在立法模式上，以单行法律为主，逐步实现法典化</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eastAsia="宋体" w:cs="宋体"/>
          <w:szCs w:val="21"/>
        </w:rPr>
        <w:t xml:space="preserve">   </w:t>
      </w:r>
      <w:r>
        <w:rPr>
          <w:rFonts w:hint="eastAsia" w:ascii="宋体" w:hAnsi="宋体" w:cs="宋体"/>
          <w:szCs w:val="21"/>
          <w:lang w:val="en-US" w:eastAsia="zh-CN"/>
        </w:rPr>
        <w:t xml:space="preserve"> </w:t>
      </w:r>
      <w:r>
        <w:rPr>
          <w:rFonts w:hint="eastAsia" w:ascii="宋体" w:hAnsi="宋体" w:eastAsia="宋体" w:cs="宋体"/>
          <w:szCs w:val="21"/>
        </w:rPr>
        <w:t>行政程序法典，是我国行政程序法立法模式的最终目标，也是行政法治的基本要求。但是，制定一部统一的、规范行政权力运行的行政程序法典是一项技术性要求很高的工程，也是一项比制定其他部门法更加艰难的工作。由于我国立法技术相对落后，行政法学理论发展比较滞后，所以现阶段我们应当以制定单行的行政程序法律为主，例如《行政强制法》、《行政许可法》、《行政处罚法》等，并进一步完善。通过这些单行行政程序法律切实有效地实施，向公众传播行政程序法所蕴含的观念及其存在价值，待社会条件、法治状况等成熟后再编纂为统一的行政程序法典。</w:t>
      </w:r>
    </w:p>
    <w:p>
      <w:pPr>
        <w:keepNext w:val="0"/>
        <w:keepLines w:val="0"/>
        <w:pageBreakBefore w:val="0"/>
        <w:widowControl w:val="0"/>
        <w:numPr>
          <w:ilvl w:val="0"/>
          <w:numId w:val="14"/>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b/>
          <w:sz w:val="24"/>
        </w:rPr>
      </w:pPr>
      <w:r>
        <w:rPr>
          <w:rFonts w:hint="eastAsia" w:ascii="宋体" w:hAnsi="宋体" w:eastAsia="宋体" w:cs="宋体"/>
          <w:b/>
          <w:sz w:val="24"/>
        </w:rPr>
        <w:t>在立法设计上，兼顾公正与效率，合理控制行政权</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eastAsia="宋体" w:cs="宋体"/>
          <w:szCs w:val="21"/>
        </w:rPr>
        <w:t xml:space="preserve">  </w:t>
      </w:r>
      <w:r>
        <w:rPr>
          <w:rFonts w:hint="eastAsia" w:ascii="宋体" w:hAnsi="宋体" w:cs="宋体"/>
          <w:szCs w:val="21"/>
          <w:lang w:val="en-US" w:eastAsia="zh-CN"/>
        </w:rPr>
        <w:t xml:space="preserve"> </w:t>
      </w:r>
      <w:r>
        <w:rPr>
          <w:rFonts w:hint="eastAsia" w:ascii="宋体" w:hAnsi="宋体" w:eastAsia="宋体" w:cs="宋体"/>
          <w:szCs w:val="21"/>
        </w:rPr>
        <w:t xml:space="preserve"> 随着依法治国、依法行政的推进，行政权逐步规范化、民主化，但是在实际运用过程中，行政权仍具有强大的支配权，行政自由裁量权的存在，使得行政权仍然具有侵害行政相对人合法权益的可能性。因此，行政程序法应充分法律其自身的独立性价值，保障行政权力公正运行，保护公民的合法权益。同时，在行政程序法运行的过程中，也应当兼顾行政效率。任何走极端的立法都无助于规范行政权力运行目的的实现，建立一套公正、高效率的行政程序法律制度，是我国行政程序立法的直接目的及价值取向。</w:t>
      </w:r>
    </w:p>
    <w:p>
      <w:pPr>
        <w:keepNext w:val="0"/>
        <w:keepLines w:val="0"/>
        <w:pageBreakBefore w:val="0"/>
        <w:widowControl w:val="0"/>
        <w:numPr>
          <w:ilvl w:val="0"/>
          <w:numId w:val="14"/>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b/>
          <w:bCs/>
          <w:sz w:val="24"/>
          <w:szCs w:val="24"/>
        </w:rPr>
      </w:pPr>
      <w:r>
        <w:rPr>
          <w:rFonts w:hint="eastAsia" w:ascii="宋体" w:hAnsi="宋体" w:eastAsia="宋体" w:cs="宋体"/>
          <w:b/>
          <w:bCs/>
          <w:sz w:val="24"/>
          <w:szCs w:val="24"/>
        </w:rPr>
        <w:t>在架构过程中，借鉴国外先进经验，并兼顾法律本土资源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cs="宋体"/>
          <w:szCs w:val="21"/>
          <w:lang w:val="en-US" w:eastAsia="zh-CN"/>
        </w:rPr>
        <w:t xml:space="preserve"> </w:t>
      </w:r>
      <w:r>
        <w:rPr>
          <w:rFonts w:hint="eastAsia" w:ascii="宋体" w:hAnsi="宋体" w:eastAsia="宋体" w:cs="宋体"/>
          <w:szCs w:val="21"/>
        </w:rPr>
        <w:t>现代行政程序法源于西方发达国家的理论与实践。在20世纪时，许多西方法治国家就已经制定各自的行政程序法典。在我国行政程序法典的架构过程中，必须积极借鉴西方发达国家的宝贵经验，同时应重视法律本土资源的开发与利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center"/>
        <w:textAlignment w:val="auto"/>
        <w:outlineLvl w:val="9"/>
        <w:rPr>
          <w:rFonts w:hint="eastAsia" w:ascii="宋体" w:hAnsi="宋体" w:eastAsia="宋体" w:cs="宋体"/>
          <w:szCs w:val="21"/>
        </w:rPr>
      </w:pPr>
      <w:r>
        <w:rPr>
          <w:rFonts w:hint="eastAsia" w:ascii="黑体" w:hAnsi="黑体" w:eastAsia="黑体" w:cs="宋体"/>
          <w:b/>
          <w:sz w:val="28"/>
          <w:szCs w:val="28"/>
          <w:lang w:val="en-US" w:eastAsia="zh-CN"/>
        </w:rPr>
        <w:t>三、</w:t>
      </w:r>
      <w:r>
        <w:rPr>
          <w:rFonts w:hint="eastAsia" w:ascii="黑体" w:hAnsi="黑体" w:eastAsia="黑体" w:cs="宋体"/>
          <w:b/>
          <w:sz w:val="28"/>
          <w:szCs w:val="28"/>
        </w:rPr>
        <w:t>行政程序法的法律价值</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cs="宋体"/>
          <w:szCs w:val="21"/>
          <w:lang w:val="en-US" w:eastAsia="zh-CN"/>
        </w:rPr>
        <w:t xml:space="preserve">    </w:t>
      </w:r>
      <w:r>
        <w:rPr>
          <w:rFonts w:hint="eastAsia" w:ascii="宋体" w:hAnsi="宋体" w:eastAsia="宋体" w:cs="宋体"/>
          <w:szCs w:val="21"/>
        </w:rPr>
        <w:t>价值是一种事物通过其所固有的某种属性满足人的需求的一个关系范畴，表现出事物与人之间的一种美好的理想追求。行政程序法的价值是通过行政程序法的运行实施实现和追求的社会价值，是指“行政程序法能够满足人们控制行政权的需要以及其为满足该人类需要而具有的属性，是行政程序法为什么要被制定，以及被制定出来的行政程序法能够长期存在且被执行的依据”。</w:t>
      </w:r>
      <w:r>
        <w:rPr>
          <w:rStyle w:val="12"/>
          <w:rFonts w:hint="eastAsia" w:ascii="宋体" w:hAnsi="宋体" w:eastAsia="宋体" w:cs="宋体"/>
          <w:szCs w:val="21"/>
        </w:rPr>
        <w:t>[</w:t>
      </w:r>
      <w:r>
        <w:rPr>
          <w:rStyle w:val="12"/>
          <w:rFonts w:hint="eastAsia" w:ascii="宋体" w:hAnsi="宋体" w:eastAsia="宋体" w:cs="宋体"/>
          <w:szCs w:val="21"/>
        </w:rPr>
        <w:footnoteReference w:id="140"/>
      </w:r>
      <w:r>
        <w:rPr>
          <w:rStyle w:val="12"/>
          <w:rFonts w:hint="eastAsia" w:ascii="宋体" w:hAnsi="宋体" w:eastAsia="宋体" w:cs="宋体"/>
          <w:szCs w:val="21"/>
        </w:rPr>
        <w:t>]</w:t>
      </w:r>
      <w:r>
        <w:rPr>
          <w:rFonts w:hint="eastAsia" w:ascii="宋体" w:hAnsi="宋体" w:eastAsia="宋体" w:cs="宋体"/>
          <w:szCs w:val="21"/>
        </w:rPr>
        <w:t>行政程序法的价值既包括保证实体法实施的外在价值，又包括行政程序法的本质属性，即内在价值——公正、秩序、效率。</w:t>
      </w:r>
    </w:p>
    <w:p>
      <w:pPr>
        <w:keepNext w:val="0"/>
        <w:keepLines w:val="0"/>
        <w:pageBreakBefore w:val="0"/>
        <w:widowControl w:val="0"/>
        <w:numPr>
          <w:ilvl w:val="0"/>
          <w:numId w:val="15"/>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b/>
          <w:sz w:val="24"/>
        </w:rPr>
      </w:pPr>
      <w:r>
        <w:rPr>
          <w:rFonts w:hint="eastAsia" w:ascii="宋体" w:hAnsi="宋体" w:eastAsia="宋体" w:cs="宋体"/>
          <w:b/>
          <w:sz w:val="24"/>
        </w:rPr>
        <w:t>公正</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eastAsia="宋体" w:cs="宋体"/>
          <w:szCs w:val="21"/>
        </w:rPr>
        <w:t xml:space="preserve">  </w:t>
      </w:r>
      <w:r>
        <w:rPr>
          <w:rFonts w:hint="eastAsia" w:ascii="宋体" w:hAnsi="宋体" w:cs="宋体"/>
          <w:szCs w:val="21"/>
          <w:lang w:val="en-US" w:eastAsia="zh-CN"/>
        </w:rPr>
        <w:t xml:space="preserve">  </w:t>
      </w:r>
      <w:r>
        <w:rPr>
          <w:rFonts w:hint="eastAsia" w:ascii="宋体" w:hAnsi="宋体" w:eastAsia="宋体" w:cs="宋体"/>
          <w:szCs w:val="21"/>
        </w:rPr>
        <w:t>追求行政公正是我国行政程序法的价值之一。公正具有较强的客观性，具有一定的社会公认标准。行政公正要求行政主体在作出行政行为时，平等的对待各方当事人，排除各种可能造成不平等或偏见的因素，客观公正的作出行政行为。</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eastAsia="宋体" w:cs="宋体"/>
          <w:szCs w:val="21"/>
        </w:rPr>
        <w:t xml:space="preserve">  </w:t>
      </w:r>
      <w:r>
        <w:rPr>
          <w:rFonts w:hint="eastAsia" w:ascii="宋体" w:hAnsi="宋体" w:cs="宋体"/>
          <w:szCs w:val="21"/>
          <w:lang w:val="en-US" w:eastAsia="zh-CN"/>
        </w:rPr>
        <w:t xml:space="preserve"> </w:t>
      </w:r>
      <w:r>
        <w:rPr>
          <w:rFonts w:hint="eastAsia" w:ascii="宋体" w:hAnsi="宋体" w:eastAsia="宋体" w:cs="宋体"/>
          <w:szCs w:val="21"/>
        </w:rPr>
        <w:t xml:space="preserve"> 将行政公正作为我国行政程序法的价值，是基于我国传统行政权力漫无边界的现实状况。从行政权力运行的现状来看，我国行政权力几乎可以说无所不在，无时不在。行政权力的膨胀与缺乏公正的行政程序法的有效约束息息相关。行政程序法的公正价值要求合理分配行政主体与行政相对人的利益，真正将行政权力纳入执法为民的法治轨道。如果行政程序法缺失公正，将沦为国家统治的工具，为人治创造了“合法”的理由。因此，将行政公正作为我国行政程序法的价值能够反映人们对我国传统上强大的行政权力的拘束与控制，平衡行政主体与行政相对人利益的要求与期盼。</w:t>
      </w:r>
    </w:p>
    <w:p>
      <w:pPr>
        <w:keepNext w:val="0"/>
        <w:keepLines w:val="0"/>
        <w:pageBreakBefore w:val="0"/>
        <w:widowControl w:val="0"/>
        <w:numPr>
          <w:ilvl w:val="0"/>
          <w:numId w:val="15"/>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b/>
          <w:sz w:val="24"/>
        </w:rPr>
      </w:pPr>
      <w:r>
        <w:rPr>
          <w:rFonts w:hint="eastAsia" w:ascii="宋体" w:hAnsi="宋体" w:eastAsia="宋体" w:cs="宋体"/>
          <w:b/>
          <w:sz w:val="24"/>
        </w:rPr>
        <w:t>秩序</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eastAsia="宋体" w:cs="宋体"/>
          <w:szCs w:val="21"/>
        </w:rPr>
        <w:t xml:space="preserve">   </w:t>
      </w:r>
      <w:r>
        <w:rPr>
          <w:rFonts w:hint="eastAsia" w:ascii="宋体" w:hAnsi="宋体" w:cs="宋体"/>
          <w:szCs w:val="21"/>
          <w:lang w:val="en-US" w:eastAsia="zh-CN"/>
        </w:rPr>
        <w:t xml:space="preserve"> </w:t>
      </w:r>
      <w:r>
        <w:rPr>
          <w:rFonts w:hint="eastAsia" w:ascii="宋体" w:hAnsi="宋体" w:eastAsia="宋体" w:cs="宋体"/>
          <w:szCs w:val="21"/>
        </w:rPr>
        <w:t>建立行政秩序也是我国行政程序法的价值之一。“秩序是自然界和平共处的社会运动、发展和变化的规律性现象。某种程序的一致性、连续性和稳定性是它的基本特征”。</w:t>
      </w:r>
      <w:r>
        <w:rPr>
          <w:rStyle w:val="12"/>
          <w:rFonts w:hint="eastAsia" w:ascii="宋体" w:hAnsi="宋体" w:eastAsia="宋体" w:cs="宋体"/>
          <w:szCs w:val="21"/>
        </w:rPr>
        <w:t>[</w:t>
      </w:r>
      <w:r>
        <w:rPr>
          <w:rStyle w:val="12"/>
          <w:rFonts w:hint="eastAsia" w:ascii="宋体" w:hAnsi="宋体" w:eastAsia="宋体" w:cs="宋体"/>
          <w:szCs w:val="21"/>
        </w:rPr>
        <w:footnoteReference w:id="141"/>
      </w:r>
      <w:r>
        <w:rPr>
          <w:rStyle w:val="12"/>
          <w:rFonts w:hint="eastAsia" w:ascii="宋体" w:hAnsi="宋体" w:eastAsia="宋体" w:cs="宋体"/>
          <w:szCs w:val="21"/>
        </w:rPr>
        <w:t>]</w:t>
      </w:r>
      <w:r>
        <w:rPr>
          <w:rFonts w:hint="eastAsia" w:ascii="宋体" w:hAnsi="宋体" w:eastAsia="宋体" w:cs="宋体"/>
          <w:szCs w:val="21"/>
        </w:rPr>
        <w:t>自然秩序与社会秩序使得人类社会得以进化与发展。自然秩序更多地是一种自发的秩序，而社会秩序则主要是一种人造的秩序。</w:t>
      </w:r>
      <w:r>
        <w:rPr>
          <w:rStyle w:val="12"/>
          <w:rFonts w:hint="eastAsia" w:ascii="宋体" w:hAnsi="宋体" w:eastAsia="宋体" w:cs="宋体"/>
          <w:szCs w:val="21"/>
        </w:rPr>
        <w:t>[</w:t>
      </w:r>
      <w:r>
        <w:rPr>
          <w:rStyle w:val="12"/>
          <w:rFonts w:hint="eastAsia" w:ascii="宋体" w:hAnsi="宋体" w:eastAsia="宋体" w:cs="宋体"/>
          <w:szCs w:val="21"/>
        </w:rPr>
        <w:footnoteReference w:id="142"/>
      </w:r>
      <w:r>
        <w:rPr>
          <w:rStyle w:val="12"/>
          <w:rFonts w:hint="eastAsia" w:ascii="宋体" w:hAnsi="宋体" w:eastAsia="宋体" w:cs="宋体"/>
          <w:szCs w:val="21"/>
        </w:rPr>
        <w:t>]</w:t>
      </w:r>
      <w:r>
        <w:rPr>
          <w:rFonts w:hint="eastAsia" w:ascii="宋体" w:hAnsi="宋体" w:eastAsia="宋体" w:cs="宋体"/>
          <w:szCs w:val="21"/>
        </w:rPr>
        <w:t>对于自然秩序，人们一般只能被动适用而别无选择，而相对于社会秩序，人们则可以通过相互之间的互动建构起来，其中最为主要的就是通过立法建立起法律秩序。生活在一个法律秩序良好的社会中，人们享有自由并具有理性，法律秩序为人们的行为提供预测并作出相应的选择。</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eastAsia="宋体" w:cs="宋体"/>
          <w:szCs w:val="21"/>
        </w:rPr>
        <w:t xml:space="preserve">  </w:t>
      </w:r>
      <w:r>
        <w:rPr>
          <w:rFonts w:hint="eastAsia" w:ascii="宋体" w:hAnsi="宋体" w:cs="宋体"/>
          <w:szCs w:val="21"/>
          <w:lang w:val="en-US" w:eastAsia="zh-CN"/>
        </w:rPr>
        <w:t xml:space="preserve"> </w:t>
      </w:r>
      <w:r>
        <w:rPr>
          <w:rFonts w:hint="eastAsia" w:ascii="宋体" w:hAnsi="宋体" w:eastAsia="宋体" w:cs="宋体"/>
          <w:szCs w:val="21"/>
        </w:rPr>
        <w:t xml:space="preserve"> 将建立行政秩序作为我国行政程序法的价值，目的在于通过对公权力行使的约束来维护人们的人身安全与财产安全。如果没有行政程序法对行政权进行限制，其会成为公众合法权益的最大破坏者。因此，行政程序法的主要目的就是，将行政主体行政权力运行的全过程纳入法律规范之中，控制公权力，维护社会的安定有序。</w:t>
      </w:r>
    </w:p>
    <w:p>
      <w:pPr>
        <w:keepNext w:val="0"/>
        <w:keepLines w:val="0"/>
        <w:pageBreakBefore w:val="0"/>
        <w:widowControl w:val="0"/>
        <w:numPr>
          <w:ilvl w:val="0"/>
          <w:numId w:val="15"/>
        </w:numPr>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b/>
          <w:sz w:val="24"/>
        </w:rPr>
      </w:pPr>
      <w:r>
        <w:rPr>
          <w:rFonts w:hint="eastAsia" w:ascii="宋体" w:hAnsi="宋体" w:eastAsia="宋体" w:cs="宋体"/>
          <w:b/>
          <w:sz w:val="24"/>
        </w:rPr>
        <w:t>效率</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ascii="宋体" w:hAnsi="宋体" w:eastAsia="宋体" w:cs="宋体"/>
          <w:szCs w:val="21"/>
        </w:rPr>
      </w:pPr>
      <w:r>
        <w:rPr>
          <w:rFonts w:hint="eastAsia" w:ascii="宋体" w:hAnsi="宋体" w:eastAsia="宋体" w:cs="宋体"/>
          <w:szCs w:val="21"/>
        </w:rPr>
        <w:t xml:space="preserve">  </w:t>
      </w:r>
      <w:r>
        <w:rPr>
          <w:rFonts w:hint="eastAsia" w:ascii="宋体" w:hAnsi="宋体" w:cs="宋体"/>
          <w:szCs w:val="21"/>
          <w:lang w:val="en-US" w:eastAsia="zh-CN"/>
        </w:rPr>
        <w:t xml:space="preserve"> </w:t>
      </w:r>
      <w:r>
        <w:rPr>
          <w:rFonts w:hint="eastAsia" w:ascii="宋体" w:hAnsi="宋体" w:eastAsia="宋体" w:cs="宋体"/>
          <w:szCs w:val="21"/>
        </w:rPr>
        <w:t xml:space="preserve"> 行政程序法作为行政法的重要组成部分，应当以效率为其价值取向之一。扩张的情况下，提高行政效率非常重要。“英国行政法学者认为，行政程序法公正的程序规则可以维持公民对行政机关的信任和良好的关系，减少与行政机关之间的摩擦，又可能最大限度地提高行政效率”。</w:t>
      </w:r>
      <w:r>
        <w:rPr>
          <w:rStyle w:val="12"/>
          <w:rFonts w:hint="eastAsia" w:ascii="宋体" w:hAnsi="宋体" w:eastAsia="宋体" w:cs="宋体"/>
          <w:szCs w:val="21"/>
        </w:rPr>
        <w:t>[</w:t>
      </w:r>
      <w:r>
        <w:rPr>
          <w:rStyle w:val="12"/>
          <w:rFonts w:hint="eastAsia" w:ascii="宋体" w:hAnsi="宋体" w:eastAsia="宋体" w:cs="宋体"/>
          <w:szCs w:val="21"/>
        </w:rPr>
        <w:footnoteReference w:id="143"/>
      </w:r>
      <w:r>
        <w:rPr>
          <w:rStyle w:val="12"/>
          <w:rFonts w:hint="eastAsia" w:ascii="宋体" w:hAnsi="宋体" w:eastAsia="宋体" w:cs="宋体"/>
          <w:szCs w:val="21"/>
        </w:rPr>
        <w:t>]</w:t>
      </w:r>
      <w:r>
        <w:rPr>
          <w:rFonts w:hint="eastAsia" w:ascii="宋体" w:hAnsi="宋体" w:eastAsia="宋体" w:cs="宋体"/>
          <w:szCs w:val="21"/>
        </w:rPr>
        <w:t>因此，科学、合理的行政程序，有利于行政主体迅速、及时并有效的行使行政权力，保障行政目标的实现，提高行政效率。</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0"/>
        <w:jc w:val="both"/>
        <w:textAlignment w:val="auto"/>
        <w:outlineLvl w:val="9"/>
        <w:rPr>
          <w:rFonts w:hint="eastAsia" w:ascii="宋体" w:hAnsi="宋体" w:eastAsia="宋体" w:cs="宋体"/>
          <w:szCs w:val="21"/>
        </w:rPr>
      </w:pPr>
      <w:r>
        <w:rPr>
          <w:rFonts w:hint="eastAsia" w:ascii="宋体" w:hAnsi="宋体" w:eastAsia="宋体" w:cs="宋体"/>
          <w:szCs w:val="21"/>
        </w:rPr>
        <w:t>将效率作为我国行政程序法的价值，既是基于行政程序的性质，也是行政程序法民主、参与的体现。行政程序是行政主体代表国家行使行政权力、管理社会事务时必须遵循的程序下规定。行政程序往往为法律所规定，因为行政程序不仅可以保证行政权力的合法运行，实现行政目标，也是行政相对人维护自己合法权益对抗行政权的重要形式。但是，由于社会资源的有限性，在设定公正的行政程序时不得不将效率纳入考虑范畴。迟来的正义非正义，有效率的行政程序将节约有限的社会资源以及给予社会成员平等的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bCs/>
          <w:sz w:val="21"/>
          <w:szCs w:val="21"/>
        </w:rPr>
      </w:pPr>
      <w:r>
        <w:rPr>
          <w:rFonts w:hint="eastAsia" w:ascii="黑体" w:hAnsi="黑体" w:eastAsia="黑体" w:cs="黑体"/>
          <w:b/>
          <w:bCs/>
          <w:sz w:val="28"/>
          <w:szCs w:val="28"/>
        </w:rPr>
        <w:t>参考文献</w:t>
      </w:r>
    </w:p>
    <w:p>
      <w:pPr>
        <w:keepNext w:val="0"/>
        <w:keepLines w:val="0"/>
        <w:pageBreakBefore w:val="0"/>
        <w:widowControl w:val="0"/>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ascii="宋体" w:hAnsi="宋体" w:eastAsia="宋体" w:cs="宋体"/>
          <w:szCs w:val="21"/>
        </w:rPr>
      </w:pPr>
      <w:r>
        <w:rPr>
          <w:rFonts w:hint="eastAsia" w:ascii="宋体" w:hAnsi="宋体" w:eastAsia="宋体" w:cs="宋体"/>
          <w:szCs w:val="21"/>
        </w:rPr>
        <w:t>[1]姜明安</w:t>
      </w:r>
      <w:r>
        <w:rPr>
          <w:rFonts w:hint="eastAsia" w:ascii="宋体" w:hAnsi="宋体" w:cs="宋体"/>
          <w:szCs w:val="21"/>
          <w:lang w:eastAsia="zh-CN"/>
        </w:rPr>
        <w:t>，</w:t>
      </w:r>
      <w:r>
        <w:rPr>
          <w:rFonts w:hint="eastAsia" w:ascii="宋体" w:hAnsi="宋体" w:eastAsia="宋体" w:cs="宋体"/>
          <w:szCs w:val="21"/>
        </w:rPr>
        <w:t>行政程序对传统控权机制的超越</w:t>
      </w:r>
      <w:r>
        <w:rPr>
          <w:rFonts w:hint="eastAsia" w:ascii="宋体" w:hAnsi="宋体" w:cs="宋体"/>
          <w:szCs w:val="21"/>
          <w:lang w:eastAsia="zh-CN"/>
        </w:rPr>
        <w:t>，</w:t>
      </w:r>
      <w:r>
        <w:rPr>
          <w:rFonts w:hint="eastAsia" w:ascii="宋体" w:hAnsi="宋体" w:eastAsia="宋体" w:cs="宋体"/>
          <w:szCs w:val="21"/>
        </w:rPr>
        <w:t>行政法学研究2005.4.</w:t>
      </w:r>
    </w:p>
    <w:p>
      <w:pPr>
        <w:keepNext w:val="0"/>
        <w:keepLines w:val="0"/>
        <w:pageBreakBefore w:val="0"/>
        <w:widowControl w:val="0"/>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ascii="宋体" w:hAnsi="宋体" w:eastAsia="宋体" w:cs="宋体"/>
          <w:szCs w:val="21"/>
        </w:rPr>
      </w:pPr>
      <w:r>
        <w:rPr>
          <w:rFonts w:hint="eastAsia" w:ascii="宋体" w:hAnsi="宋体" w:eastAsia="宋体" w:cs="宋体"/>
          <w:szCs w:val="21"/>
        </w:rPr>
        <w:t>[2]路建</w:t>
      </w:r>
      <w:r>
        <w:rPr>
          <w:rFonts w:hint="eastAsia" w:ascii="宋体" w:hAnsi="宋体" w:cs="宋体"/>
          <w:szCs w:val="21"/>
          <w:lang w:eastAsia="zh-CN"/>
        </w:rPr>
        <w:t>，</w:t>
      </w:r>
      <w:r>
        <w:rPr>
          <w:rFonts w:hint="eastAsia" w:ascii="宋体" w:hAnsi="宋体" w:eastAsia="宋体" w:cs="宋体"/>
          <w:szCs w:val="21"/>
        </w:rPr>
        <w:t>行政程序法的目标模式的选择</w:t>
      </w:r>
      <w:r>
        <w:rPr>
          <w:rFonts w:hint="eastAsia" w:ascii="宋体" w:hAnsi="宋体" w:cs="宋体"/>
          <w:szCs w:val="21"/>
          <w:lang w:eastAsia="zh-CN"/>
        </w:rPr>
        <w:t>，</w:t>
      </w:r>
      <w:r>
        <w:rPr>
          <w:rFonts w:hint="eastAsia" w:ascii="宋体" w:hAnsi="宋体" w:eastAsia="宋体" w:cs="宋体"/>
          <w:szCs w:val="21"/>
        </w:rPr>
        <w:t>学术交流，2005.10.</w:t>
      </w:r>
    </w:p>
    <w:p>
      <w:pPr>
        <w:keepNext w:val="0"/>
        <w:keepLines w:val="0"/>
        <w:pageBreakBefore w:val="0"/>
        <w:widowControl w:val="0"/>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ascii="宋体" w:hAnsi="宋体" w:eastAsia="宋体" w:cs="宋体"/>
          <w:szCs w:val="21"/>
        </w:rPr>
      </w:pPr>
      <w:r>
        <w:rPr>
          <w:rFonts w:hint="eastAsia" w:ascii="宋体" w:hAnsi="宋体" w:eastAsia="宋体" w:cs="宋体"/>
          <w:szCs w:val="21"/>
        </w:rPr>
        <w:t>[3]</w:t>
      </w:r>
      <w:r>
        <w:rPr>
          <w:rFonts w:hint="eastAsia" w:ascii="宋体" w:hAnsi="宋体" w:eastAsia="宋体" w:cs="宋体"/>
          <w:spacing w:val="-14"/>
          <w:szCs w:val="21"/>
        </w:rPr>
        <w:t>陈瑞华</w:t>
      </w:r>
      <w:r>
        <w:rPr>
          <w:rFonts w:hint="eastAsia" w:ascii="宋体" w:hAnsi="宋体" w:cs="宋体"/>
          <w:spacing w:val="-14"/>
          <w:szCs w:val="21"/>
          <w:lang w:eastAsia="zh-CN"/>
        </w:rPr>
        <w:t>，</w:t>
      </w:r>
      <w:r>
        <w:rPr>
          <w:rFonts w:hint="eastAsia" w:ascii="宋体" w:hAnsi="宋体" w:eastAsia="宋体" w:cs="宋体"/>
          <w:spacing w:val="-14"/>
          <w:szCs w:val="21"/>
        </w:rPr>
        <w:t>通过法律实现程序正义—萨默斯“程序价值”论评析[J]</w:t>
      </w:r>
      <w:r>
        <w:rPr>
          <w:rFonts w:hint="eastAsia" w:ascii="宋体" w:hAnsi="宋体" w:cs="宋体"/>
          <w:spacing w:val="-14"/>
          <w:szCs w:val="21"/>
          <w:lang w:eastAsia="zh-CN"/>
        </w:rPr>
        <w:t>，</w:t>
      </w:r>
      <w:r>
        <w:rPr>
          <w:rFonts w:hint="eastAsia" w:ascii="宋体" w:hAnsi="宋体" w:eastAsia="宋体" w:cs="宋体"/>
          <w:spacing w:val="-14"/>
          <w:szCs w:val="21"/>
        </w:rPr>
        <w:t>北大法律评论，1998.(1).第1辑.</w:t>
      </w:r>
    </w:p>
    <w:p>
      <w:pPr>
        <w:keepNext w:val="0"/>
        <w:keepLines w:val="0"/>
        <w:pageBreakBefore w:val="0"/>
        <w:widowControl w:val="0"/>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ascii="宋体" w:hAnsi="宋体" w:eastAsia="宋体" w:cs="宋体"/>
          <w:szCs w:val="21"/>
        </w:rPr>
      </w:pPr>
      <w:r>
        <w:rPr>
          <w:rFonts w:hint="eastAsia" w:ascii="宋体" w:hAnsi="宋体" w:eastAsia="宋体" w:cs="宋体"/>
          <w:szCs w:val="21"/>
        </w:rPr>
        <w:t>[4]关保英</w:t>
      </w:r>
      <w:r>
        <w:rPr>
          <w:rFonts w:hint="eastAsia" w:ascii="宋体" w:hAnsi="宋体" w:cs="宋体"/>
          <w:szCs w:val="21"/>
          <w:lang w:eastAsia="zh-CN"/>
        </w:rPr>
        <w:t>，</w:t>
      </w:r>
      <w:r>
        <w:rPr>
          <w:rFonts w:hint="eastAsia" w:ascii="宋体" w:hAnsi="宋体" w:eastAsia="宋体" w:cs="宋体"/>
          <w:szCs w:val="21"/>
        </w:rPr>
        <w:t>行政法的价值定位—效率、程序及其和谐[M]</w:t>
      </w:r>
      <w:r>
        <w:rPr>
          <w:rFonts w:hint="eastAsia" w:ascii="宋体" w:hAnsi="宋体" w:cs="宋体"/>
          <w:szCs w:val="21"/>
          <w:lang w:eastAsia="zh-CN"/>
        </w:rPr>
        <w:t>，</w:t>
      </w:r>
      <w:r>
        <w:rPr>
          <w:rFonts w:hint="eastAsia" w:ascii="宋体" w:hAnsi="宋体" w:eastAsia="宋体" w:cs="宋体"/>
          <w:szCs w:val="21"/>
        </w:rPr>
        <w:t>中国政法大学出版社，1997.</w:t>
      </w:r>
    </w:p>
    <w:p>
      <w:pPr>
        <w:keepNext w:val="0"/>
        <w:keepLines w:val="0"/>
        <w:pageBreakBefore w:val="0"/>
        <w:widowControl w:val="0"/>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ascii="宋体" w:hAnsi="宋体" w:eastAsia="宋体" w:cs="宋体"/>
          <w:szCs w:val="21"/>
        </w:rPr>
      </w:pPr>
      <w:r>
        <w:rPr>
          <w:rFonts w:hint="eastAsia" w:ascii="宋体" w:hAnsi="宋体" w:eastAsia="宋体" w:cs="宋体"/>
          <w:szCs w:val="21"/>
        </w:rPr>
        <w:t>[5]张文显</w:t>
      </w:r>
      <w:r>
        <w:rPr>
          <w:rFonts w:hint="eastAsia" w:ascii="宋体" w:hAnsi="宋体" w:cs="宋体"/>
          <w:szCs w:val="21"/>
          <w:lang w:eastAsia="zh-CN"/>
        </w:rPr>
        <w:t>，</w:t>
      </w:r>
      <w:r>
        <w:rPr>
          <w:rFonts w:hint="eastAsia" w:ascii="宋体" w:hAnsi="宋体" w:eastAsia="宋体" w:cs="宋体"/>
          <w:szCs w:val="21"/>
        </w:rPr>
        <w:t>《法学基本范畴研究》</w:t>
      </w:r>
      <w:r>
        <w:rPr>
          <w:rFonts w:hint="eastAsia" w:ascii="宋体" w:hAnsi="宋体" w:cs="宋体"/>
          <w:szCs w:val="21"/>
          <w:lang w:eastAsia="zh-CN"/>
        </w:rPr>
        <w:t>，</w:t>
      </w:r>
      <w:r>
        <w:rPr>
          <w:rFonts w:hint="eastAsia" w:ascii="宋体" w:hAnsi="宋体" w:eastAsia="宋体" w:cs="宋体"/>
          <w:szCs w:val="21"/>
        </w:rPr>
        <w:t>中国政法人学出版社，1993年版.</w:t>
      </w:r>
    </w:p>
    <w:p>
      <w:pPr>
        <w:keepNext w:val="0"/>
        <w:keepLines w:val="0"/>
        <w:pageBreakBefore w:val="0"/>
        <w:widowControl w:val="0"/>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ascii="宋体" w:hAnsi="宋体" w:eastAsia="宋体" w:cs="宋体"/>
          <w:szCs w:val="21"/>
        </w:rPr>
      </w:pPr>
      <w:r>
        <w:rPr>
          <w:rFonts w:hint="eastAsia" w:ascii="宋体" w:hAnsi="宋体" w:eastAsia="宋体" w:cs="宋体"/>
          <w:szCs w:val="21"/>
        </w:rPr>
        <w:t>[6]应松年</w:t>
      </w:r>
      <w:r>
        <w:rPr>
          <w:rFonts w:hint="eastAsia" w:ascii="宋体" w:hAnsi="宋体" w:cs="宋体"/>
          <w:szCs w:val="21"/>
          <w:lang w:eastAsia="zh-CN"/>
        </w:rPr>
        <w:t>、</w:t>
      </w:r>
      <w:r>
        <w:rPr>
          <w:rFonts w:hint="eastAsia" w:ascii="宋体" w:hAnsi="宋体" w:eastAsia="宋体" w:cs="宋体"/>
          <w:szCs w:val="21"/>
        </w:rPr>
        <w:t>袁曙宏</w:t>
      </w:r>
      <w:r>
        <w:rPr>
          <w:rFonts w:hint="eastAsia" w:ascii="宋体" w:hAnsi="宋体" w:cs="宋体"/>
          <w:szCs w:val="21"/>
          <w:lang w:eastAsia="zh-CN"/>
        </w:rPr>
        <w:t>，</w:t>
      </w:r>
      <w:r>
        <w:rPr>
          <w:rFonts w:hint="eastAsia" w:ascii="宋体" w:hAnsi="宋体" w:eastAsia="宋体" w:cs="宋体"/>
          <w:szCs w:val="21"/>
        </w:rPr>
        <w:t>走法治政府，法律出版社，2001年第1版.</w:t>
      </w:r>
    </w:p>
    <w:p>
      <w:pPr>
        <w:keepNext w:val="0"/>
        <w:keepLines w:val="0"/>
        <w:pageBreakBefore w:val="0"/>
        <w:widowControl w:val="0"/>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ascii="宋体" w:hAnsi="宋体" w:eastAsia="宋体" w:cs="宋体"/>
          <w:szCs w:val="21"/>
        </w:rPr>
      </w:pPr>
      <w:r>
        <w:rPr>
          <w:rFonts w:hint="eastAsia" w:ascii="宋体" w:hAnsi="宋体" w:eastAsia="宋体" w:cs="宋体"/>
          <w:szCs w:val="21"/>
        </w:rPr>
        <w:t>[7]姜明安</w:t>
      </w:r>
      <w:r>
        <w:rPr>
          <w:rFonts w:hint="eastAsia" w:ascii="宋体" w:hAnsi="宋体" w:cs="宋体"/>
          <w:szCs w:val="21"/>
          <w:lang w:eastAsia="zh-CN"/>
        </w:rPr>
        <w:t>，</w:t>
      </w:r>
      <w:r>
        <w:rPr>
          <w:rFonts w:hint="eastAsia" w:ascii="宋体" w:hAnsi="宋体" w:eastAsia="宋体" w:cs="宋体"/>
          <w:szCs w:val="21"/>
        </w:rPr>
        <w:t>行政法与行政诉讼法，北京大学出版社，1999年第l版.</w:t>
      </w:r>
    </w:p>
    <w:p>
      <w:pPr>
        <w:keepNext w:val="0"/>
        <w:keepLines w:val="0"/>
        <w:pageBreakBefore w:val="0"/>
        <w:widowControl w:val="0"/>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ascii="宋体" w:hAnsi="宋体" w:eastAsia="宋体" w:cs="宋体"/>
          <w:szCs w:val="21"/>
        </w:rPr>
      </w:pPr>
      <w:r>
        <w:rPr>
          <w:rFonts w:hint="eastAsia" w:ascii="宋体" w:hAnsi="宋体" w:eastAsia="宋体" w:cs="宋体"/>
          <w:szCs w:val="21"/>
        </w:rPr>
        <w:t>[8]马怀德</w:t>
      </w:r>
      <w:r>
        <w:rPr>
          <w:rFonts w:hint="eastAsia" w:ascii="宋体" w:hAnsi="宋体" w:cs="宋体"/>
          <w:szCs w:val="21"/>
          <w:lang w:eastAsia="zh-CN"/>
        </w:rPr>
        <w:t>，</w:t>
      </w:r>
      <w:r>
        <w:rPr>
          <w:rFonts w:hint="eastAsia" w:ascii="宋体" w:hAnsi="宋体" w:eastAsia="宋体" w:cs="宋体"/>
          <w:szCs w:val="21"/>
        </w:rPr>
        <w:t>行政程序法的价值和立法意义</w:t>
      </w:r>
      <w:r>
        <w:rPr>
          <w:rFonts w:hint="eastAsia" w:ascii="宋体" w:hAnsi="宋体" w:cs="宋体"/>
          <w:szCs w:val="21"/>
          <w:lang w:eastAsia="zh-CN"/>
        </w:rPr>
        <w:t>，</w:t>
      </w:r>
      <w:r>
        <w:rPr>
          <w:rFonts w:hint="eastAsia" w:ascii="宋体" w:hAnsi="宋体" w:eastAsia="宋体" w:cs="宋体"/>
          <w:szCs w:val="21"/>
        </w:rPr>
        <w:t>政法论坛</w:t>
      </w:r>
      <w:r>
        <w:rPr>
          <w:rFonts w:hint="eastAsia" w:ascii="宋体" w:hAnsi="宋体" w:cs="宋体"/>
          <w:szCs w:val="21"/>
          <w:lang w:eastAsia="zh-CN"/>
        </w:rPr>
        <w:t>，</w:t>
      </w:r>
      <w:r>
        <w:rPr>
          <w:rFonts w:hint="eastAsia" w:ascii="宋体" w:hAnsi="宋体" w:eastAsia="宋体" w:cs="宋体"/>
          <w:szCs w:val="21"/>
        </w:rPr>
        <w:t>2004年第5期.</w:t>
      </w:r>
    </w:p>
    <w:p>
      <w:pPr>
        <w:keepNext w:val="0"/>
        <w:keepLines w:val="0"/>
        <w:pageBreakBefore w:val="0"/>
        <w:widowControl w:val="0"/>
        <w:kinsoku/>
        <w:wordWrap/>
        <w:overflowPunct/>
        <w:topLinePunct w:val="0"/>
        <w:autoSpaceDE/>
        <w:autoSpaceDN/>
        <w:bidi w:val="0"/>
        <w:adjustRightInd/>
        <w:snapToGrid/>
        <w:spacing w:line="288" w:lineRule="auto"/>
        <w:ind w:left="420" w:leftChars="0" w:right="0" w:rightChars="0" w:hanging="420" w:hangingChars="200"/>
        <w:jc w:val="both"/>
        <w:textAlignment w:val="auto"/>
        <w:outlineLvl w:val="9"/>
        <w:rPr>
          <w:rFonts w:hint="eastAsia" w:ascii="宋体" w:hAnsi="宋体" w:eastAsia="宋体" w:cs="宋体"/>
          <w:szCs w:val="21"/>
        </w:rPr>
      </w:pPr>
      <w:r>
        <w:rPr>
          <w:rFonts w:hint="eastAsia" w:ascii="宋体" w:hAnsi="宋体" w:eastAsia="宋体" w:cs="宋体"/>
          <w:szCs w:val="21"/>
        </w:rPr>
        <w:t>[9]袁曙宏</w:t>
      </w:r>
      <w:r>
        <w:rPr>
          <w:rFonts w:hint="eastAsia" w:ascii="宋体" w:hAnsi="宋体" w:cs="宋体"/>
          <w:szCs w:val="21"/>
          <w:lang w:eastAsia="zh-CN"/>
        </w:rPr>
        <w:t>，</w:t>
      </w:r>
      <w:r>
        <w:rPr>
          <w:rFonts w:hint="eastAsia" w:ascii="宋体" w:hAnsi="宋体" w:eastAsia="宋体" w:cs="宋体"/>
          <w:szCs w:val="21"/>
        </w:rPr>
        <w:t>全面推进依法行政实施纲要读本，法律出版社，2004年第l版.</w:t>
      </w:r>
    </w:p>
    <w:p>
      <w:pPr>
        <w:keepNext w:val="0"/>
        <w:keepLines w:val="0"/>
        <w:pageBreakBefore w:val="0"/>
        <w:widowControl w:val="0"/>
        <w:kinsoku/>
        <w:wordWrap/>
        <w:overflowPunct/>
        <w:topLinePunct w:val="0"/>
        <w:autoSpaceDE/>
        <w:autoSpaceDN/>
        <w:bidi w:val="0"/>
        <w:adjustRightInd/>
        <w:snapToGrid/>
        <w:spacing w:line="240" w:lineRule="auto"/>
        <w:ind w:left="420" w:leftChars="0" w:right="0" w:rightChars="0" w:hanging="420" w:hangingChars="200"/>
        <w:jc w:val="both"/>
        <w:textAlignment w:val="auto"/>
        <w:outlineLvl w:val="9"/>
        <w:rPr>
          <w:rFonts w:hint="eastAsia" w:ascii="宋体" w:hAnsi="宋体" w:eastAsia="宋体" w:cs="宋体"/>
          <w:szCs w:val="21"/>
        </w:rPr>
      </w:pPr>
      <w:r>
        <w:rPr>
          <w:rFonts w:hint="eastAsia" w:cs="Times New Roman"/>
          <w:sz w:val="21"/>
          <w:szCs w:val="21"/>
          <w:lang w:val="en-US" w:eastAsia="zh-CN"/>
        </w:rPr>
        <w:t xml:space="preserve">                                                            </w:t>
      </w:r>
      <w:r>
        <w:rPr>
          <w:rFonts w:hint="eastAsia" w:ascii="Times New Roman" w:hAnsi="Times New Roman" w:cs="Times New Roman"/>
          <w:sz w:val="21"/>
          <w:szCs w:val="21"/>
          <w:lang w:val="en-US" w:eastAsia="zh-CN"/>
        </w:rPr>
        <w:t xml:space="preserve">（责任编辑： </w:t>
      </w:r>
      <w:r>
        <w:rPr>
          <w:rFonts w:hint="eastAsia" w:cs="Times New Roman"/>
          <w:sz w:val="21"/>
          <w:szCs w:val="21"/>
          <w:lang w:val="en-US" w:eastAsia="zh-CN"/>
        </w:rPr>
        <w:t>李明哲</w:t>
      </w:r>
      <w:r>
        <w:rPr>
          <w:rFonts w:hint="eastAsia" w:ascii="Times New Roman" w:hAnsi="Times New Roman" w:cs="Times New Roman"/>
          <w:sz w:val="21"/>
          <w:szCs w:val="21"/>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误存亡夫账户案请求权基础分析报告</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姚娟</w:t>
      </w:r>
      <w:r>
        <w:rPr>
          <w:rStyle w:val="12"/>
          <w:rFonts w:hint="eastAsia" w:ascii="宋体" w:hAnsi="宋体" w:eastAsia="宋体" w:cs="宋体"/>
          <w:sz w:val="21"/>
          <w:szCs w:val="21"/>
          <w:lang w:val="en-US" w:eastAsia="zh-CN"/>
        </w:rPr>
        <w:footnoteReference w:id="144" w:customMarkFollows="1"/>
        <w:t>*</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textAlignment w:val="auto"/>
        <w:outlineLvl w:val="9"/>
        <w:rPr>
          <w:rFonts w:hint="eastAsia" w:ascii="楷体" w:hAnsi="楷体" w:eastAsia="楷体" w:cs="楷体"/>
          <w:sz w:val="21"/>
          <w:szCs w:val="21"/>
        </w:rPr>
      </w:pPr>
      <w:r>
        <w:rPr>
          <w:rFonts w:hint="eastAsia" w:ascii="宋体" w:hAnsi="宋体" w:eastAsia="宋体" w:cs="宋体"/>
          <w:b/>
          <w:bCs/>
          <w:sz w:val="21"/>
          <w:szCs w:val="21"/>
        </w:rPr>
        <w:t>案情</w:t>
      </w:r>
      <w:r>
        <w:rPr>
          <w:rFonts w:hint="eastAsia" w:ascii="宋体" w:hAnsi="宋体" w:eastAsia="宋体" w:cs="宋体"/>
          <w:b/>
          <w:bCs/>
          <w:sz w:val="21"/>
          <w:szCs w:val="21"/>
          <w:lang w:eastAsia="zh-CN"/>
        </w:rPr>
        <w:t>：</w:t>
      </w:r>
      <w:r>
        <w:rPr>
          <w:rFonts w:hint="eastAsia" w:ascii="楷体" w:hAnsi="楷体" w:eastAsia="楷体" w:cs="楷体"/>
          <w:sz w:val="21"/>
          <w:szCs w:val="21"/>
        </w:rPr>
        <w:t>2015年7月，北京市昌平区44岁的黄女士拿着5万元现金去昌平区某银行分理处办理活期存款。钱存进去后，她发现错拿成前夫郭先生的存折，而郭先生不久前因病去世（郭先生于2014年4月和黄女士离婚，因身患重病又无其他近亲属，生活起居仍由黄女士照料）。因没有前夫账户密码，黄女士只得向银行说明情况，希望拿回自己的5万元存款。银行员工称，黄女士需要提交郭先生死亡证明并办理继承公证等手续后才能取出存款。银行员工和黄女士一同到了公证处，却被告知这5万元并非郭先生的遗产，不能为黄女士办理继承公证。与银行交涉未果，黄女士遂提起诉讼。</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outlineLvl w:val="9"/>
        <w:rPr>
          <w:rFonts w:hint="eastAsia" w:ascii="楷体" w:hAnsi="楷体" w:eastAsia="楷体" w:cs="楷体"/>
          <w:sz w:val="21"/>
          <w:szCs w:val="21"/>
        </w:rPr>
      </w:pPr>
      <w:r>
        <w:rPr>
          <w:rFonts w:hint="eastAsia" w:ascii="宋体" w:hAnsi="宋体" w:eastAsia="宋体" w:cs="宋体"/>
          <w:b/>
          <w:bCs/>
          <w:sz w:val="21"/>
          <w:szCs w:val="21"/>
        </w:rPr>
        <w:t>待决问题</w:t>
      </w:r>
      <w:r>
        <w:rPr>
          <w:rFonts w:hint="eastAsia" w:ascii="宋体" w:hAnsi="宋体" w:eastAsia="宋体" w:cs="宋体"/>
          <w:b/>
          <w:bCs/>
          <w:sz w:val="21"/>
          <w:szCs w:val="21"/>
          <w:lang w:eastAsia="zh-CN"/>
        </w:rPr>
        <w:t>：</w:t>
      </w:r>
      <w:r>
        <w:rPr>
          <w:rFonts w:hint="eastAsia" w:ascii="楷体" w:hAnsi="楷体" w:eastAsia="楷体" w:cs="楷体"/>
          <w:sz w:val="21"/>
          <w:szCs w:val="21"/>
        </w:rPr>
        <w:t>黄女士得依何种规范向银行提出何种请求？</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outlineLvl w:val="9"/>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20"/>
        <w:jc w:val="center"/>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8"/>
          <w:szCs w:val="28"/>
          <w:lang w:val="en-US" w:eastAsia="zh-CN"/>
        </w:rPr>
        <w:t>分析思路</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4"/>
          <w:szCs w:val="24"/>
          <w:lang w:val="en-US" w:eastAsia="zh-CN"/>
        </w:rPr>
        <w:t>壹、黄女士享有的请求权</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val="en-US" w:eastAsia="zh-CN"/>
        </w:rPr>
        <w:t>一、黄女士</w:t>
      </w:r>
      <w:r>
        <w:rPr>
          <w:rFonts w:hint="eastAsia" w:ascii="宋体" w:hAnsi="宋体" w:eastAsia="宋体" w:cs="宋体"/>
          <w:b/>
          <w:bCs/>
          <w:sz w:val="21"/>
          <w:szCs w:val="21"/>
        </w:rPr>
        <w:t>或许可以依据《</w:t>
      </w:r>
      <w:r>
        <w:rPr>
          <w:rFonts w:hint="eastAsia" w:ascii="宋体" w:hAnsi="宋体" w:eastAsia="宋体" w:cs="宋体"/>
          <w:b/>
          <w:bCs/>
          <w:sz w:val="21"/>
          <w:szCs w:val="21"/>
          <w:lang w:val="en-US" w:eastAsia="zh-CN"/>
        </w:rPr>
        <w:t>民法通则</w:t>
      </w:r>
      <w:r>
        <w:rPr>
          <w:rFonts w:hint="eastAsia" w:ascii="宋体" w:hAnsi="宋体" w:eastAsia="宋体" w:cs="宋体"/>
          <w:b/>
          <w:bCs/>
          <w:sz w:val="21"/>
          <w:szCs w:val="21"/>
        </w:rPr>
        <w:t>》第</w:t>
      </w:r>
      <w:r>
        <w:rPr>
          <w:rFonts w:hint="eastAsia" w:ascii="宋体" w:hAnsi="宋体" w:eastAsia="宋体" w:cs="宋体"/>
          <w:b/>
          <w:bCs/>
          <w:sz w:val="21"/>
          <w:szCs w:val="21"/>
          <w:lang w:val="en-US" w:eastAsia="zh-CN"/>
        </w:rPr>
        <w:t>92</w:t>
      </w:r>
      <w:r>
        <w:rPr>
          <w:rFonts w:hint="eastAsia" w:ascii="宋体" w:hAnsi="宋体" w:eastAsia="宋体" w:cs="宋体"/>
          <w:b/>
          <w:bCs/>
          <w:sz w:val="21"/>
          <w:szCs w:val="21"/>
        </w:rPr>
        <w:t>条向</w:t>
      </w:r>
      <w:r>
        <w:rPr>
          <w:rFonts w:hint="eastAsia" w:ascii="宋体" w:hAnsi="宋体" w:eastAsia="宋体" w:cs="宋体"/>
          <w:b/>
          <w:bCs/>
          <w:sz w:val="21"/>
          <w:szCs w:val="21"/>
          <w:lang w:val="en-US" w:eastAsia="zh-CN"/>
        </w:rPr>
        <w:t>银行</w:t>
      </w:r>
      <w:r>
        <w:rPr>
          <w:rFonts w:hint="eastAsia" w:ascii="宋体" w:hAnsi="宋体" w:eastAsia="宋体" w:cs="宋体"/>
          <w:b/>
          <w:bCs/>
          <w:sz w:val="21"/>
          <w:szCs w:val="21"/>
        </w:rPr>
        <w:t>主张</w:t>
      </w:r>
      <w:r>
        <w:rPr>
          <w:rFonts w:hint="eastAsia" w:ascii="宋体" w:hAnsi="宋体" w:eastAsia="宋体" w:cs="宋体"/>
          <w:b/>
          <w:bCs/>
          <w:sz w:val="21"/>
          <w:szCs w:val="21"/>
          <w:lang w:val="en-US" w:eastAsia="zh-CN"/>
        </w:rPr>
        <w:t>不当得利</w:t>
      </w:r>
      <w:r>
        <w:rPr>
          <w:rFonts w:hint="eastAsia" w:ascii="宋体" w:hAnsi="宋体" w:eastAsia="宋体" w:cs="宋体"/>
          <w:b/>
          <w:bCs/>
          <w:sz w:val="21"/>
          <w:szCs w:val="21"/>
        </w:rPr>
        <w:t>。</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（一）请求权是否产生？</w:t>
      </w:r>
    </w:p>
    <w:p>
      <w:pPr>
        <w:keepNext w:val="0"/>
        <w:keepLines w:val="0"/>
        <w:pageBreakBefore w:val="0"/>
        <w:widowControl/>
        <w:numPr>
          <w:ilvl w:val="0"/>
          <w:numId w:val="16"/>
        </w:numPr>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是否存在不当得利？</w:t>
      </w:r>
    </w:p>
    <w:p>
      <w:pPr>
        <w:keepNext w:val="0"/>
        <w:keepLines w:val="0"/>
        <w:pageBreakBefore w:val="0"/>
        <w:widowControl/>
        <w:numPr>
          <w:ilvl w:val="0"/>
          <w:numId w:val="0"/>
        </w:numPr>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中间结论</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（二）请求权是否消灭？</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（三）请求权是否可执行？</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四</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结论</w:t>
      </w:r>
    </w:p>
    <w:p>
      <w:pPr>
        <w:keepNext w:val="0"/>
        <w:keepLines w:val="0"/>
        <w:pageBreakBefore w:val="0"/>
        <w:widowControl/>
        <w:numPr>
          <w:ilvl w:val="0"/>
          <w:numId w:val="0"/>
        </w:numPr>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val="en-US" w:eastAsia="zh-CN"/>
        </w:rPr>
        <w:t>二、黄女士</w:t>
      </w:r>
      <w:r>
        <w:rPr>
          <w:rFonts w:hint="eastAsia" w:ascii="宋体" w:hAnsi="宋体" w:eastAsia="宋体" w:cs="宋体"/>
          <w:b/>
          <w:bCs/>
          <w:sz w:val="21"/>
          <w:szCs w:val="21"/>
        </w:rPr>
        <w:t>或许可以依据《</w:t>
      </w:r>
      <w:r>
        <w:rPr>
          <w:rFonts w:hint="eastAsia" w:ascii="宋体" w:hAnsi="宋体" w:eastAsia="宋体" w:cs="宋体"/>
          <w:b/>
          <w:bCs/>
          <w:sz w:val="21"/>
          <w:szCs w:val="21"/>
          <w:lang w:val="en-US" w:eastAsia="zh-CN"/>
        </w:rPr>
        <w:t>合同法</w:t>
      </w:r>
      <w:r>
        <w:rPr>
          <w:rFonts w:hint="eastAsia" w:ascii="宋体" w:hAnsi="宋体" w:eastAsia="宋体" w:cs="宋体"/>
          <w:b/>
          <w:bCs/>
          <w:sz w:val="21"/>
          <w:szCs w:val="21"/>
        </w:rPr>
        <w:t>》第</w:t>
      </w:r>
      <w:r>
        <w:rPr>
          <w:rFonts w:hint="eastAsia" w:ascii="宋体" w:hAnsi="宋体" w:eastAsia="宋体" w:cs="宋体"/>
          <w:b/>
          <w:bCs/>
          <w:sz w:val="21"/>
          <w:szCs w:val="21"/>
          <w:lang w:val="en-US" w:eastAsia="zh-CN"/>
        </w:rPr>
        <w:t>42</w:t>
      </w:r>
      <w:r>
        <w:rPr>
          <w:rFonts w:hint="eastAsia" w:ascii="宋体" w:hAnsi="宋体" w:eastAsia="宋体" w:cs="宋体"/>
          <w:b/>
          <w:bCs/>
          <w:sz w:val="21"/>
          <w:szCs w:val="21"/>
        </w:rPr>
        <w:t>条向</w:t>
      </w:r>
      <w:r>
        <w:rPr>
          <w:rFonts w:hint="eastAsia" w:ascii="宋体" w:hAnsi="宋体" w:eastAsia="宋体" w:cs="宋体"/>
          <w:b/>
          <w:bCs/>
          <w:sz w:val="21"/>
          <w:szCs w:val="21"/>
          <w:lang w:val="en-US" w:eastAsia="zh-CN"/>
        </w:rPr>
        <w:t>银行</w:t>
      </w:r>
      <w:r>
        <w:rPr>
          <w:rFonts w:hint="eastAsia" w:ascii="宋体" w:hAnsi="宋体" w:eastAsia="宋体" w:cs="宋体"/>
          <w:b/>
          <w:bCs/>
          <w:sz w:val="21"/>
          <w:szCs w:val="21"/>
        </w:rPr>
        <w:t>主张</w:t>
      </w:r>
      <w:r>
        <w:rPr>
          <w:rFonts w:hint="eastAsia" w:ascii="宋体" w:hAnsi="宋体" w:eastAsia="宋体" w:cs="宋体"/>
          <w:b/>
          <w:bCs/>
          <w:sz w:val="21"/>
          <w:szCs w:val="21"/>
          <w:lang w:val="en-US" w:eastAsia="zh-CN"/>
        </w:rPr>
        <w:t>缔约过失责任</w:t>
      </w:r>
      <w:r>
        <w:rPr>
          <w:rFonts w:hint="eastAsia" w:ascii="宋体" w:hAnsi="宋体" w:eastAsia="宋体" w:cs="宋体"/>
          <w:b/>
          <w:bCs/>
          <w:sz w:val="21"/>
          <w:szCs w:val="21"/>
        </w:rPr>
        <w:t>。</w:t>
      </w:r>
    </w:p>
    <w:p>
      <w:pPr>
        <w:keepNext w:val="0"/>
        <w:keepLines w:val="0"/>
        <w:pageBreakBefore w:val="0"/>
        <w:widowControl/>
        <w:numPr>
          <w:ilvl w:val="0"/>
          <w:numId w:val="17"/>
        </w:numPr>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请求权是否产生？</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储蓄</w:t>
      </w:r>
      <w:r>
        <w:rPr>
          <w:rFonts w:hint="eastAsia" w:ascii="宋体" w:hAnsi="宋体" w:eastAsia="宋体" w:cs="宋体"/>
          <w:sz w:val="21"/>
          <w:szCs w:val="21"/>
        </w:rPr>
        <w:t>合同是否成立？</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（1）是否存在有效的要约？</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（2）是否存在有效的承诺？</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（3）承诺与要约内容是否一致？</w:t>
      </w:r>
    </w:p>
    <w:p>
      <w:pPr>
        <w:keepNext w:val="0"/>
        <w:keepLines w:val="0"/>
        <w:pageBreakBefore w:val="0"/>
        <w:widowControl/>
        <w:numPr>
          <w:ilvl w:val="0"/>
          <w:numId w:val="18"/>
        </w:numPr>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储蓄</w:t>
      </w:r>
      <w:r>
        <w:rPr>
          <w:rFonts w:hint="eastAsia" w:ascii="宋体" w:hAnsi="宋体" w:eastAsia="宋体" w:cs="宋体"/>
          <w:sz w:val="21"/>
          <w:szCs w:val="21"/>
        </w:rPr>
        <w:t>合同是否有效？</w:t>
      </w:r>
    </w:p>
    <w:p>
      <w:pPr>
        <w:keepNext w:val="0"/>
        <w:keepLines w:val="0"/>
        <w:pageBreakBefore w:val="0"/>
        <w:widowControl/>
        <w:numPr>
          <w:ilvl w:val="0"/>
          <w:numId w:val="19"/>
        </w:numPr>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当事人</w:t>
      </w:r>
      <w:r>
        <w:rPr>
          <w:rFonts w:hint="eastAsia" w:ascii="宋体" w:hAnsi="宋体" w:eastAsia="宋体" w:cs="宋体"/>
          <w:sz w:val="21"/>
          <w:szCs w:val="21"/>
          <w:lang w:val="en-US" w:eastAsia="zh-CN"/>
        </w:rPr>
        <w:t>是否</w:t>
      </w:r>
      <w:r>
        <w:rPr>
          <w:rFonts w:hint="eastAsia" w:ascii="宋体" w:hAnsi="宋体" w:eastAsia="宋体" w:cs="宋体"/>
          <w:sz w:val="21"/>
          <w:szCs w:val="21"/>
        </w:rPr>
        <w:t>具有相应的行为能力</w:t>
      </w:r>
      <w:r>
        <w:rPr>
          <w:rFonts w:hint="eastAsia" w:ascii="宋体" w:hAnsi="宋体" w:eastAsia="宋体" w:cs="宋体"/>
          <w:sz w:val="21"/>
          <w:szCs w:val="21"/>
          <w:lang w:eastAsia="zh-CN"/>
        </w:rPr>
        <w:t>？</w:t>
      </w:r>
    </w:p>
    <w:p>
      <w:pPr>
        <w:keepNext w:val="0"/>
        <w:keepLines w:val="0"/>
        <w:pageBreakBefore w:val="0"/>
        <w:widowControl/>
        <w:numPr>
          <w:ilvl w:val="0"/>
          <w:numId w:val="19"/>
        </w:numPr>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意思表示</w:t>
      </w:r>
      <w:r>
        <w:rPr>
          <w:rFonts w:hint="eastAsia" w:ascii="宋体" w:hAnsi="宋体" w:eastAsia="宋体" w:cs="宋体"/>
          <w:sz w:val="21"/>
          <w:szCs w:val="21"/>
          <w:lang w:val="en-US" w:eastAsia="zh-CN"/>
        </w:rPr>
        <w:t>是否</w:t>
      </w:r>
      <w:r>
        <w:rPr>
          <w:rFonts w:hint="eastAsia" w:ascii="宋体" w:hAnsi="宋体" w:eastAsia="宋体" w:cs="宋体"/>
          <w:sz w:val="21"/>
          <w:szCs w:val="21"/>
        </w:rPr>
        <w:t>真实</w:t>
      </w:r>
      <w:r>
        <w:rPr>
          <w:rFonts w:hint="eastAsia" w:ascii="宋体" w:hAnsi="宋体" w:eastAsia="宋体" w:cs="宋体"/>
          <w:sz w:val="21"/>
          <w:szCs w:val="21"/>
          <w:lang w:eastAsia="zh-CN"/>
        </w:rPr>
        <w:t>？</w:t>
      </w:r>
    </w:p>
    <w:p>
      <w:pPr>
        <w:keepNext w:val="0"/>
        <w:keepLines w:val="0"/>
        <w:pageBreakBefore w:val="0"/>
        <w:widowControl/>
        <w:numPr>
          <w:ilvl w:val="0"/>
          <w:numId w:val="19"/>
        </w:numPr>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是否</w:t>
      </w:r>
      <w:r>
        <w:rPr>
          <w:rFonts w:hint="eastAsia" w:ascii="宋体" w:hAnsi="宋体" w:eastAsia="宋体" w:cs="宋体"/>
          <w:sz w:val="21"/>
          <w:szCs w:val="21"/>
        </w:rPr>
        <w:t>违反法律以及社会公共利益</w:t>
      </w:r>
      <w:r>
        <w:rPr>
          <w:rFonts w:hint="eastAsia" w:ascii="宋体" w:hAnsi="宋体" w:eastAsia="宋体" w:cs="宋体"/>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 w:lineRule="atLeast"/>
        <w:ind w:left="0" w:leftChars="0" w:right="0" w:righ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3、是否构成缔约过失责任？</w:t>
      </w:r>
    </w:p>
    <w:p>
      <w:pPr>
        <w:keepNext w:val="0"/>
        <w:keepLines w:val="0"/>
        <w:pageBreakBefore w:val="0"/>
        <w:widowControl/>
        <w:numPr>
          <w:ilvl w:val="0"/>
          <w:numId w:val="0"/>
        </w:numPr>
        <w:kinsoku/>
        <w:wordWrap/>
        <w:overflowPunct/>
        <w:topLinePunct w:val="0"/>
        <w:autoSpaceDE/>
        <w:autoSpaceDN/>
        <w:bidi w:val="0"/>
        <w:adjustRightInd/>
        <w:snapToGrid/>
        <w:spacing w:line="24" w:lineRule="atLeas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中间结论</w:t>
      </w:r>
    </w:p>
    <w:p>
      <w:pPr>
        <w:keepNext w:val="0"/>
        <w:keepLines w:val="0"/>
        <w:pageBreakBefore w:val="0"/>
        <w:widowControl/>
        <w:numPr>
          <w:ilvl w:val="0"/>
          <w:numId w:val="17"/>
        </w:numPr>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请求权是否消灭？</w:t>
      </w:r>
    </w:p>
    <w:p>
      <w:pPr>
        <w:keepNext w:val="0"/>
        <w:keepLines w:val="0"/>
        <w:pageBreakBefore w:val="0"/>
        <w:widowControl/>
        <w:numPr>
          <w:ilvl w:val="0"/>
          <w:numId w:val="17"/>
        </w:numPr>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请求权是否可执行？</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四</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结论</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val="en-US" w:eastAsia="zh-CN"/>
        </w:rPr>
        <w:t>三、黄女士或许可以依据《物权法》第34条向银行主张返还5万元。</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（一）请求权是否产生？</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1、返还原物请求权是否存在？</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2、中间结论</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（二）请求权是否消灭？</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（三）请求权是否可执行？</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四</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结论</w:t>
      </w:r>
    </w:p>
    <w:p>
      <w:pPr>
        <w:keepNext w:val="0"/>
        <w:keepLines w:val="0"/>
        <w:pageBreakBefore w:val="0"/>
        <w:widowControl/>
        <w:numPr>
          <w:ilvl w:val="0"/>
          <w:numId w:val="0"/>
        </w:numPr>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四、黄女士或许可以依据《侵权责任法》第34条向银行主张侵权赔偿。</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（一）请求权是否产生？</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1、是否构成侵权？</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2、中间结论</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（二）请求权是否消灭？</w:t>
      </w:r>
    </w:p>
    <w:p>
      <w:pPr>
        <w:keepNext w:val="0"/>
        <w:keepLines w:val="0"/>
        <w:pageBreakBefore w:val="0"/>
        <w:widowControl/>
        <w:numPr>
          <w:ilvl w:val="0"/>
          <w:numId w:val="0"/>
        </w:numPr>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（三）请求权是否可执行？</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四</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结论</w:t>
      </w:r>
    </w:p>
    <w:p>
      <w:pPr>
        <w:keepNext w:val="0"/>
        <w:keepLines w:val="0"/>
        <w:pageBreakBefore w:val="0"/>
        <w:widowControl/>
        <w:kinsoku/>
        <w:wordWrap/>
        <w:overflowPunct/>
        <w:topLinePunct w:val="0"/>
        <w:autoSpaceDE/>
        <w:autoSpaceDN/>
        <w:bidi w:val="0"/>
        <w:adjustRightInd/>
        <w:snapToGrid/>
        <w:spacing w:line="24" w:lineRule="atLeast"/>
        <w:ind w:left="0" w:leftChars="0" w:right="0" w:rightChars="0" w:firstLine="0" w:firstLineChars="0"/>
        <w:jc w:val="left"/>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贰 总结论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黑体" w:hAnsi="黑体" w:eastAsia="黑体" w:cs="黑体"/>
          <w:b/>
          <w:bCs/>
          <w:sz w:val="21"/>
          <w:szCs w:val="21"/>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分析内容</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ascii="黑体" w:hAnsi="黑体" w:eastAsia="黑体" w:cs="黑体"/>
          <w:b/>
          <w:bCs/>
          <w:sz w:val="21"/>
          <w:szCs w:val="21"/>
          <w:lang w:val="en-US" w:eastAsia="zh-CN"/>
        </w:rPr>
      </w:pPr>
      <w:r>
        <w:rPr>
          <w:rFonts w:hint="eastAsia" w:ascii="黑体" w:hAnsi="黑体" w:eastAsia="黑体" w:cs="黑体"/>
          <w:b/>
          <w:bCs/>
          <w:sz w:val="24"/>
          <w:szCs w:val="24"/>
          <w:lang w:val="en-US" w:eastAsia="zh-CN"/>
        </w:rPr>
        <w:t>壹、黄女士享有的请求权</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一、黄女士</w:t>
      </w:r>
      <w:r>
        <w:rPr>
          <w:rFonts w:hint="eastAsia" w:ascii="宋体" w:hAnsi="宋体" w:eastAsia="宋体" w:cs="宋体"/>
          <w:b/>
          <w:bCs/>
          <w:sz w:val="24"/>
          <w:szCs w:val="24"/>
        </w:rPr>
        <w:t>或许可以依据《</w:t>
      </w:r>
      <w:r>
        <w:rPr>
          <w:rFonts w:hint="eastAsia" w:ascii="宋体" w:hAnsi="宋体" w:eastAsia="宋体" w:cs="宋体"/>
          <w:b/>
          <w:bCs/>
          <w:sz w:val="24"/>
          <w:szCs w:val="24"/>
          <w:lang w:val="en-US" w:eastAsia="zh-CN"/>
        </w:rPr>
        <w:t>民法通则</w:t>
      </w:r>
      <w:r>
        <w:rPr>
          <w:rFonts w:hint="eastAsia" w:ascii="宋体" w:hAnsi="宋体" w:eastAsia="宋体" w:cs="宋体"/>
          <w:b/>
          <w:bCs/>
          <w:sz w:val="24"/>
          <w:szCs w:val="24"/>
        </w:rPr>
        <w:t>》第</w:t>
      </w:r>
      <w:r>
        <w:rPr>
          <w:rFonts w:hint="eastAsia" w:ascii="宋体" w:hAnsi="宋体" w:eastAsia="宋体" w:cs="宋体"/>
          <w:b/>
          <w:bCs/>
          <w:sz w:val="24"/>
          <w:szCs w:val="24"/>
          <w:lang w:val="en-US" w:eastAsia="zh-CN"/>
        </w:rPr>
        <w:t>92</w:t>
      </w:r>
      <w:r>
        <w:rPr>
          <w:rFonts w:hint="eastAsia" w:ascii="宋体" w:hAnsi="宋体" w:eastAsia="宋体" w:cs="宋体"/>
          <w:b/>
          <w:bCs/>
          <w:sz w:val="24"/>
          <w:szCs w:val="24"/>
        </w:rPr>
        <w:t>条向</w:t>
      </w:r>
      <w:r>
        <w:rPr>
          <w:rFonts w:hint="eastAsia" w:ascii="宋体" w:hAnsi="宋体" w:eastAsia="宋体" w:cs="宋体"/>
          <w:b/>
          <w:bCs/>
          <w:sz w:val="24"/>
          <w:szCs w:val="24"/>
          <w:lang w:val="en-US" w:eastAsia="zh-CN"/>
        </w:rPr>
        <w:t>银行</w:t>
      </w:r>
      <w:r>
        <w:rPr>
          <w:rFonts w:hint="eastAsia" w:ascii="宋体" w:hAnsi="宋体" w:eastAsia="宋体" w:cs="宋体"/>
          <w:b/>
          <w:bCs/>
          <w:sz w:val="24"/>
          <w:szCs w:val="24"/>
        </w:rPr>
        <w:t>主张</w:t>
      </w:r>
      <w:r>
        <w:rPr>
          <w:rFonts w:hint="eastAsia" w:ascii="宋体" w:hAnsi="宋体" w:eastAsia="宋体" w:cs="宋体"/>
          <w:b/>
          <w:bCs/>
          <w:sz w:val="24"/>
          <w:szCs w:val="24"/>
          <w:lang w:val="en-US" w:eastAsia="zh-CN"/>
        </w:rPr>
        <w:t>不当得利</w:t>
      </w:r>
      <w:r>
        <w:rPr>
          <w:rFonts w:hint="eastAsia" w:ascii="宋体" w:hAnsi="宋体" w:eastAsia="宋体" w:cs="宋体"/>
          <w:b/>
          <w:bCs/>
          <w:sz w:val="24"/>
          <w:szCs w:val="24"/>
        </w:rPr>
        <w:t>。</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ascii="宋体" w:hAnsi="宋体" w:eastAsia="宋体" w:cs="宋体"/>
          <w:b/>
          <w:bCs/>
          <w:sz w:val="24"/>
        </w:rPr>
      </w:pPr>
      <w:r>
        <w:rPr>
          <w:rFonts w:hint="eastAsia" w:ascii="宋体" w:hAnsi="宋体" w:eastAsia="宋体" w:cs="宋体"/>
          <w:b/>
          <w:bCs/>
          <w:sz w:val="24"/>
        </w:rPr>
        <w:t>（一）请求权是否产生？</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Cs w:val="21"/>
        </w:rPr>
      </w:pPr>
      <w:r>
        <w:rPr>
          <w:rFonts w:hint="eastAsia" w:ascii="宋体" w:hAnsi="宋体" w:eastAsia="宋体" w:cs="宋体"/>
          <w:szCs w:val="21"/>
        </w:rPr>
        <w:t>《民法通则》第92条：没有合法根据，取得不当利益，造成他人损失的，应当将取得的不当利益返还受损失的人。</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szCs w:val="21"/>
        </w:rPr>
      </w:pPr>
      <w:r>
        <w:rPr>
          <w:rFonts w:hint="eastAsia" w:ascii="宋体" w:hAnsi="宋体" w:eastAsia="宋体" w:cs="宋体"/>
          <w:szCs w:val="21"/>
        </w:rPr>
        <w:t>不当得利的构成要件：</w:t>
      </w:r>
      <w:bookmarkStart w:id="110" w:name="OLE_LINK4"/>
      <w:r>
        <w:rPr>
          <w:rFonts w:hint="eastAsia" w:ascii="宋体" w:hAnsi="宋体" w:eastAsia="宋体" w:cs="宋体"/>
          <w:szCs w:val="21"/>
        </w:rPr>
        <w:t>（1）一方获得利益；（2）他方利益受有损失；（3）一方获得利益与他方利益受损之间有因果关系；（4）获得利益及利益受损均无法律根据。</w:t>
      </w:r>
    </w:p>
    <w:bookmarkEnd w:id="110"/>
    <w:p>
      <w:pPr>
        <w:keepNext w:val="0"/>
        <w:keepLines w:val="0"/>
        <w:pageBreakBefore w:val="0"/>
        <w:widowControl/>
        <w:numPr>
          <w:ilvl w:val="0"/>
          <w:numId w:val="20"/>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szCs w:val="21"/>
        </w:rPr>
      </w:pPr>
      <w:r>
        <w:rPr>
          <w:rFonts w:hint="eastAsia" w:ascii="宋体" w:hAnsi="宋体" w:eastAsia="宋体" w:cs="宋体"/>
          <w:szCs w:val="21"/>
        </w:rPr>
        <w:t>是否构成不当得利？</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1</w:t>
      </w:r>
      <w:r>
        <w:rPr>
          <w:rFonts w:hint="eastAsia" w:ascii="宋体" w:hAnsi="宋体" w:eastAsia="宋体" w:cs="宋体"/>
          <w:szCs w:val="21"/>
          <w:lang w:eastAsia="zh-CN"/>
        </w:rPr>
        <w:t>）</w:t>
      </w:r>
      <w:r>
        <w:rPr>
          <w:rFonts w:hint="eastAsia" w:ascii="宋体" w:hAnsi="宋体" w:eastAsia="宋体" w:cs="宋体"/>
          <w:szCs w:val="21"/>
        </w:rPr>
        <w:t>一方获得利益</w:t>
      </w:r>
      <w:r>
        <w:rPr>
          <w:rFonts w:hint="eastAsia" w:ascii="宋体" w:hAnsi="宋体" w:eastAsia="宋体" w:cs="宋体"/>
          <w:szCs w:val="21"/>
          <w:lang w:eastAsia="zh-CN"/>
        </w:rPr>
        <w:t>。</w:t>
      </w:r>
      <w:r>
        <w:rPr>
          <w:rFonts w:hint="eastAsia" w:ascii="宋体" w:hAnsi="宋体" w:eastAsia="宋体" w:cs="宋体"/>
          <w:szCs w:val="21"/>
          <w:lang w:val="en-US" w:eastAsia="zh-CN"/>
        </w:rPr>
        <w:t>关于个人存款的法律性质，我国理论界对此有两种观点：一是物权说，“储蓄就是所有权与使用权相分离的信用行为，通过契约的方式，个人把货币存入银行后，货币的使用权暂时让渡给银行，存款人仍然享有所有权，并拥有收取利息的收益权和暗器收回本金的处分权”</w:t>
      </w:r>
      <w:r>
        <w:rPr>
          <w:rStyle w:val="12"/>
          <w:rFonts w:hint="eastAsia" w:ascii="宋体" w:hAnsi="宋体" w:eastAsia="宋体" w:cs="宋体"/>
          <w:szCs w:val="21"/>
          <w:lang w:val="en-US" w:eastAsia="zh-CN"/>
        </w:rPr>
        <w:t>[</w:t>
      </w:r>
      <w:r>
        <w:rPr>
          <w:rStyle w:val="12"/>
          <w:rFonts w:hint="eastAsia" w:ascii="宋体" w:hAnsi="宋体" w:eastAsia="宋体" w:cs="宋体"/>
          <w:szCs w:val="21"/>
          <w:lang w:val="en-US" w:eastAsia="zh-CN"/>
        </w:rPr>
        <w:footnoteReference w:id="145"/>
      </w:r>
      <w:r>
        <w:rPr>
          <w:rStyle w:val="12"/>
          <w:rFonts w:hint="eastAsia" w:ascii="宋体" w:hAnsi="宋体" w:eastAsia="宋体" w:cs="宋体"/>
          <w:szCs w:val="21"/>
          <w:lang w:val="en-US" w:eastAsia="zh-CN"/>
        </w:rPr>
        <w:t>]</w:t>
      </w:r>
      <w:r>
        <w:rPr>
          <w:rFonts w:hint="eastAsia" w:ascii="宋体" w:hAnsi="宋体" w:eastAsia="宋体" w:cs="宋体"/>
          <w:szCs w:val="21"/>
          <w:lang w:val="en-US" w:eastAsia="zh-CN"/>
        </w:rPr>
        <w:t>；二是债权说，又分为借贷性的契约关系说、消费寄托关系说、消费借贷关系说、混合关系说。大多数学者赞成后者，也就是说银行与储户之间存在债权关系，这就意味着银行通过储户存款的行为，此刻获得了暂时性的利益，而不受其后期是否需归还的影响。</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2</w:t>
      </w:r>
      <w:r>
        <w:rPr>
          <w:rFonts w:hint="eastAsia" w:ascii="宋体" w:hAnsi="宋体" w:eastAsia="宋体" w:cs="宋体"/>
          <w:szCs w:val="21"/>
          <w:lang w:eastAsia="zh-CN"/>
        </w:rPr>
        <w:t>）</w:t>
      </w:r>
      <w:r>
        <w:rPr>
          <w:rFonts w:hint="eastAsia" w:ascii="宋体" w:hAnsi="宋体" w:eastAsia="宋体" w:cs="宋体"/>
          <w:szCs w:val="21"/>
        </w:rPr>
        <w:t>他方利益受有损失</w:t>
      </w:r>
      <w:r>
        <w:rPr>
          <w:rFonts w:hint="eastAsia" w:ascii="宋体" w:hAnsi="宋体" w:eastAsia="宋体" w:cs="宋体"/>
          <w:szCs w:val="21"/>
          <w:lang w:eastAsia="zh-CN"/>
        </w:rPr>
        <w:t>。</w:t>
      </w:r>
      <w:r>
        <w:rPr>
          <w:rFonts w:hint="eastAsia" w:ascii="宋体" w:hAnsi="宋体" w:eastAsia="宋体" w:cs="宋体"/>
          <w:szCs w:val="21"/>
          <w:lang w:val="en-US" w:eastAsia="zh-CN"/>
        </w:rPr>
        <w:t>在本案中，黄女士因误存遭受了5万元的经济损失。</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3</w:t>
      </w:r>
      <w:r>
        <w:rPr>
          <w:rFonts w:hint="eastAsia" w:ascii="宋体" w:hAnsi="宋体" w:eastAsia="宋体" w:cs="宋体"/>
          <w:szCs w:val="21"/>
          <w:lang w:eastAsia="zh-CN"/>
        </w:rPr>
        <w:t>）</w:t>
      </w:r>
      <w:r>
        <w:rPr>
          <w:rFonts w:hint="eastAsia" w:ascii="宋体" w:hAnsi="宋体" w:eastAsia="宋体" w:cs="宋体"/>
          <w:szCs w:val="21"/>
        </w:rPr>
        <w:t>一方获得利益与他方利益受损之间有因果关系</w:t>
      </w:r>
      <w:r>
        <w:rPr>
          <w:rFonts w:hint="eastAsia" w:ascii="宋体" w:hAnsi="宋体" w:eastAsia="宋体" w:cs="宋体"/>
          <w:szCs w:val="21"/>
          <w:lang w:eastAsia="zh-CN"/>
        </w:rPr>
        <w:t>。得利益和受到损失之间有因果关系，是指他方的损失是因一方获得利益造成。</w:t>
      </w:r>
      <w:r>
        <w:rPr>
          <w:rFonts w:hint="eastAsia" w:ascii="宋体" w:hAnsi="宋体" w:eastAsia="宋体" w:cs="宋体"/>
          <w:szCs w:val="21"/>
          <w:lang w:val="en-US" w:eastAsia="zh-CN"/>
        </w:rPr>
        <w:t>在本案中，银行获得的利益与黄女士遭受损害之间不存在因果关系。</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szCs w:val="21"/>
          <w:lang w:val="en-US" w:eastAsia="zh-CN"/>
        </w:rPr>
      </w:pPr>
      <w:r>
        <w:rPr>
          <w:rFonts w:hint="eastAsia" w:ascii="宋体" w:hAnsi="宋体" w:eastAsia="宋体" w:cs="宋体"/>
          <w:szCs w:val="21"/>
          <w:lang w:eastAsia="zh-CN"/>
        </w:rPr>
        <w:t>（</w:t>
      </w:r>
      <w:r>
        <w:rPr>
          <w:rFonts w:hint="eastAsia" w:ascii="宋体" w:hAnsi="宋体" w:eastAsia="宋体" w:cs="宋体"/>
          <w:szCs w:val="21"/>
          <w:lang w:val="en-US" w:eastAsia="zh-CN"/>
        </w:rPr>
        <w:t>4</w:t>
      </w:r>
      <w:r>
        <w:rPr>
          <w:rFonts w:hint="eastAsia" w:ascii="宋体" w:hAnsi="宋体" w:eastAsia="宋体" w:cs="宋体"/>
          <w:szCs w:val="21"/>
          <w:lang w:eastAsia="zh-CN"/>
        </w:rPr>
        <w:t>）</w:t>
      </w:r>
      <w:r>
        <w:rPr>
          <w:rFonts w:hint="eastAsia" w:ascii="宋体" w:hAnsi="宋体" w:eastAsia="宋体" w:cs="宋体"/>
          <w:szCs w:val="21"/>
        </w:rPr>
        <w:t>获得利益及利益受损均无法律根据。</w:t>
      </w:r>
      <w:r>
        <w:rPr>
          <w:rFonts w:hint="eastAsia" w:ascii="宋体" w:hAnsi="宋体" w:eastAsia="宋体" w:cs="宋体"/>
          <w:szCs w:val="21"/>
          <w:lang w:val="en-US" w:eastAsia="zh-CN"/>
        </w:rPr>
        <w:t>在本案中，银行受益是因储户存款行为所致，存在法律依据。</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综上，银行不满足不当得利的（3）、（4）要件，则不构成不当得利。</w:t>
      </w:r>
    </w:p>
    <w:p>
      <w:pPr>
        <w:keepNext w:val="0"/>
        <w:keepLines w:val="0"/>
        <w:pageBreakBefore w:val="0"/>
        <w:widowControl/>
        <w:numPr>
          <w:ilvl w:val="0"/>
          <w:numId w:val="20"/>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eastAsia="宋体" w:cs="宋体"/>
          <w:szCs w:val="21"/>
        </w:rPr>
      </w:pPr>
      <w:r>
        <w:rPr>
          <w:rFonts w:hint="eastAsia" w:ascii="宋体" w:hAnsi="宋体" w:eastAsia="宋体" w:cs="宋体"/>
          <w:szCs w:val="21"/>
        </w:rPr>
        <w:t>中间结论</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Cs w:val="21"/>
        </w:rPr>
      </w:pPr>
      <w:r>
        <w:rPr>
          <w:rFonts w:hint="eastAsia" w:ascii="宋体" w:hAnsi="宋体" w:eastAsia="宋体" w:cs="宋体"/>
          <w:szCs w:val="21"/>
          <w:lang w:val="en-US" w:eastAsia="zh-CN"/>
        </w:rPr>
        <w:t>黄女士不</w:t>
      </w:r>
      <w:r>
        <w:rPr>
          <w:rFonts w:hint="eastAsia" w:ascii="宋体" w:hAnsi="宋体" w:eastAsia="宋体" w:cs="宋体"/>
          <w:szCs w:val="21"/>
        </w:rPr>
        <w:t>可以依据《</w:t>
      </w:r>
      <w:r>
        <w:rPr>
          <w:rFonts w:hint="eastAsia" w:ascii="宋体" w:hAnsi="宋体" w:eastAsia="宋体" w:cs="宋体"/>
          <w:szCs w:val="21"/>
          <w:lang w:val="en-US" w:eastAsia="zh-CN"/>
        </w:rPr>
        <w:t>民法通则</w:t>
      </w:r>
      <w:r>
        <w:rPr>
          <w:rFonts w:hint="eastAsia" w:ascii="宋体" w:hAnsi="宋体" w:eastAsia="宋体" w:cs="宋体"/>
          <w:szCs w:val="21"/>
        </w:rPr>
        <w:t>》第</w:t>
      </w:r>
      <w:r>
        <w:rPr>
          <w:rFonts w:hint="eastAsia" w:ascii="宋体" w:hAnsi="宋体" w:eastAsia="宋体" w:cs="宋体"/>
          <w:szCs w:val="21"/>
          <w:lang w:val="en-US" w:eastAsia="zh-CN"/>
        </w:rPr>
        <w:t>92</w:t>
      </w:r>
      <w:r>
        <w:rPr>
          <w:rFonts w:hint="eastAsia" w:ascii="宋体" w:hAnsi="宋体" w:eastAsia="宋体" w:cs="宋体"/>
          <w:szCs w:val="21"/>
        </w:rPr>
        <w:t>条向</w:t>
      </w:r>
      <w:r>
        <w:rPr>
          <w:rFonts w:hint="eastAsia" w:ascii="宋体" w:hAnsi="宋体" w:eastAsia="宋体" w:cs="宋体"/>
          <w:szCs w:val="21"/>
          <w:lang w:val="en-US" w:eastAsia="zh-CN"/>
        </w:rPr>
        <w:t>银行</w:t>
      </w:r>
      <w:r>
        <w:rPr>
          <w:rFonts w:hint="eastAsia" w:ascii="宋体" w:hAnsi="宋体" w:eastAsia="宋体" w:cs="宋体"/>
          <w:szCs w:val="21"/>
        </w:rPr>
        <w:t>主张</w:t>
      </w:r>
      <w:r>
        <w:rPr>
          <w:rFonts w:hint="eastAsia" w:ascii="宋体" w:hAnsi="宋体" w:eastAsia="宋体" w:cs="宋体"/>
          <w:szCs w:val="21"/>
          <w:lang w:val="en-US" w:eastAsia="zh-CN"/>
        </w:rPr>
        <w:t>不当得利</w:t>
      </w:r>
      <w:r>
        <w:rPr>
          <w:rFonts w:hint="eastAsia" w:ascii="宋体" w:hAnsi="宋体" w:eastAsia="宋体" w:cs="宋体"/>
          <w:szCs w:val="21"/>
        </w:rPr>
        <w:t>。</w:t>
      </w:r>
    </w:p>
    <w:p>
      <w:pPr>
        <w:keepNext w:val="0"/>
        <w:keepLines w:val="0"/>
        <w:pageBreakBefore w:val="0"/>
        <w:widowControl/>
        <w:numPr>
          <w:ilvl w:val="0"/>
          <w:numId w:val="21"/>
        </w:numPr>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eastAsia="宋体" w:cs="宋体"/>
          <w:b/>
          <w:bCs/>
          <w:sz w:val="24"/>
        </w:rPr>
      </w:pPr>
      <w:r>
        <w:rPr>
          <w:rFonts w:hint="eastAsia" w:ascii="宋体" w:hAnsi="宋体" w:eastAsia="宋体" w:cs="宋体"/>
          <w:b/>
          <w:bCs/>
          <w:sz w:val="24"/>
        </w:rPr>
        <w:t>请求权是否消灭？</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 w:val="24"/>
        </w:rPr>
      </w:pPr>
      <w:r>
        <w:rPr>
          <w:rFonts w:hint="eastAsia" w:ascii="宋体" w:hAnsi="宋体" w:eastAsia="宋体" w:cs="宋体"/>
          <w:sz w:val="21"/>
          <w:szCs w:val="21"/>
          <w:lang w:val="en-US" w:eastAsia="zh-CN"/>
        </w:rPr>
        <w:t>请求权未产生，没有讨论该问题的必要。</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eastAsia="宋体" w:cs="宋体"/>
          <w:b/>
          <w:bCs/>
          <w:sz w:val="24"/>
        </w:rPr>
      </w:pPr>
      <w:r>
        <w:rPr>
          <w:rFonts w:hint="eastAsia" w:ascii="宋体" w:hAnsi="宋体" w:eastAsia="宋体" w:cs="宋体"/>
          <w:b/>
          <w:bCs/>
          <w:sz w:val="24"/>
        </w:rPr>
        <w:t>（三）请求权是否可执行？</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请求权未产生，没有讨论该问题的必要。</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eastAsia="宋体" w:cs="宋体"/>
          <w:b/>
          <w:bCs/>
          <w:sz w:val="24"/>
          <w:lang w:eastAsia="zh-CN"/>
        </w:rPr>
      </w:pPr>
      <w:r>
        <w:rPr>
          <w:rFonts w:hint="eastAsia" w:ascii="宋体" w:hAnsi="宋体" w:eastAsia="宋体" w:cs="宋体"/>
          <w:b/>
          <w:bCs/>
          <w:sz w:val="24"/>
          <w:lang w:eastAsia="zh-CN"/>
        </w:rPr>
        <w:t>（</w:t>
      </w:r>
      <w:r>
        <w:rPr>
          <w:rFonts w:hint="eastAsia" w:ascii="宋体" w:hAnsi="宋体" w:eastAsia="宋体" w:cs="宋体"/>
          <w:b/>
          <w:bCs/>
          <w:sz w:val="24"/>
          <w:lang w:val="en-US" w:eastAsia="zh-CN"/>
        </w:rPr>
        <w:t>四</w:t>
      </w:r>
      <w:r>
        <w:rPr>
          <w:rFonts w:hint="eastAsia" w:ascii="宋体" w:hAnsi="宋体" w:eastAsia="宋体" w:cs="宋体"/>
          <w:b/>
          <w:bCs/>
          <w:sz w:val="24"/>
          <w:lang w:eastAsia="zh-CN"/>
        </w:rPr>
        <w:t>）</w:t>
      </w:r>
      <w:r>
        <w:rPr>
          <w:rFonts w:hint="eastAsia" w:ascii="宋体" w:hAnsi="宋体" w:eastAsia="宋体" w:cs="宋体"/>
          <w:b/>
          <w:bCs/>
          <w:sz w:val="24"/>
          <w:lang w:val="en-US" w:eastAsia="zh-CN"/>
        </w:rPr>
        <w:t>结论</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Cs w:val="21"/>
          <w:lang w:val="en-US" w:eastAsia="zh-CN"/>
        </w:rPr>
        <w:t>黄女士不</w:t>
      </w:r>
      <w:r>
        <w:rPr>
          <w:rFonts w:hint="eastAsia" w:ascii="宋体" w:hAnsi="宋体" w:eastAsia="宋体" w:cs="宋体"/>
          <w:szCs w:val="21"/>
        </w:rPr>
        <w:t>可以依据《</w:t>
      </w:r>
      <w:r>
        <w:rPr>
          <w:rFonts w:hint="eastAsia" w:ascii="宋体" w:hAnsi="宋体" w:eastAsia="宋体" w:cs="宋体"/>
          <w:szCs w:val="21"/>
          <w:lang w:val="en-US" w:eastAsia="zh-CN"/>
        </w:rPr>
        <w:t>民法通则</w:t>
      </w:r>
      <w:r>
        <w:rPr>
          <w:rFonts w:hint="eastAsia" w:ascii="宋体" w:hAnsi="宋体" w:eastAsia="宋体" w:cs="宋体"/>
          <w:szCs w:val="21"/>
        </w:rPr>
        <w:t>》第</w:t>
      </w:r>
      <w:r>
        <w:rPr>
          <w:rFonts w:hint="eastAsia" w:ascii="宋体" w:hAnsi="宋体" w:eastAsia="宋体" w:cs="宋体"/>
          <w:szCs w:val="21"/>
          <w:lang w:val="en-US" w:eastAsia="zh-CN"/>
        </w:rPr>
        <w:t>92</w:t>
      </w:r>
      <w:r>
        <w:rPr>
          <w:rFonts w:hint="eastAsia" w:ascii="宋体" w:hAnsi="宋体" w:eastAsia="宋体" w:cs="宋体"/>
          <w:szCs w:val="21"/>
        </w:rPr>
        <w:t>条向</w:t>
      </w:r>
      <w:r>
        <w:rPr>
          <w:rFonts w:hint="eastAsia" w:ascii="宋体" w:hAnsi="宋体" w:eastAsia="宋体" w:cs="宋体"/>
          <w:szCs w:val="21"/>
          <w:lang w:val="en-US" w:eastAsia="zh-CN"/>
        </w:rPr>
        <w:t>银行</w:t>
      </w:r>
      <w:r>
        <w:rPr>
          <w:rFonts w:hint="eastAsia" w:ascii="宋体" w:hAnsi="宋体" w:eastAsia="宋体" w:cs="宋体"/>
          <w:szCs w:val="21"/>
        </w:rPr>
        <w:t>主张</w:t>
      </w:r>
      <w:r>
        <w:rPr>
          <w:rFonts w:hint="eastAsia" w:ascii="宋体" w:hAnsi="宋体" w:eastAsia="宋体" w:cs="宋体"/>
          <w:szCs w:val="21"/>
          <w:lang w:val="en-US" w:eastAsia="zh-CN"/>
        </w:rPr>
        <w:t>不当得利</w:t>
      </w:r>
      <w:r>
        <w:rPr>
          <w:rFonts w:hint="eastAsia" w:ascii="宋体" w:hAnsi="宋体" w:eastAsia="宋体" w:cs="宋体"/>
          <w:szCs w:val="21"/>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outlineLvl w:val="9"/>
      </w:pPr>
      <w: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二、黄女士</w:t>
      </w:r>
      <w:r>
        <w:rPr>
          <w:rFonts w:hint="eastAsia" w:ascii="宋体" w:hAnsi="宋体" w:eastAsia="宋体" w:cs="宋体"/>
          <w:b/>
          <w:bCs/>
          <w:sz w:val="24"/>
          <w:szCs w:val="24"/>
        </w:rPr>
        <w:t>或许可以依据《</w:t>
      </w:r>
      <w:r>
        <w:rPr>
          <w:rFonts w:hint="eastAsia" w:ascii="宋体" w:hAnsi="宋体" w:eastAsia="宋体" w:cs="宋体"/>
          <w:b/>
          <w:bCs/>
          <w:sz w:val="24"/>
          <w:szCs w:val="24"/>
          <w:lang w:val="en-US" w:eastAsia="zh-CN"/>
        </w:rPr>
        <w:t>合同法</w:t>
      </w:r>
      <w:r>
        <w:rPr>
          <w:rFonts w:hint="eastAsia" w:ascii="宋体" w:hAnsi="宋体" w:eastAsia="宋体" w:cs="宋体"/>
          <w:b/>
          <w:bCs/>
          <w:sz w:val="24"/>
          <w:szCs w:val="24"/>
        </w:rPr>
        <w:t>》第</w:t>
      </w:r>
      <w:r>
        <w:rPr>
          <w:rFonts w:hint="eastAsia" w:ascii="宋体" w:hAnsi="宋体" w:eastAsia="宋体" w:cs="宋体"/>
          <w:b/>
          <w:bCs/>
          <w:sz w:val="24"/>
          <w:szCs w:val="24"/>
          <w:lang w:val="en-US" w:eastAsia="zh-CN"/>
        </w:rPr>
        <w:t>42</w:t>
      </w:r>
      <w:r>
        <w:rPr>
          <w:rFonts w:hint="eastAsia" w:ascii="宋体" w:hAnsi="宋体" w:eastAsia="宋体" w:cs="宋体"/>
          <w:b/>
          <w:bCs/>
          <w:sz w:val="24"/>
          <w:szCs w:val="24"/>
        </w:rPr>
        <w:t>条向</w:t>
      </w:r>
      <w:r>
        <w:rPr>
          <w:rFonts w:hint="eastAsia" w:ascii="宋体" w:hAnsi="宋体" w:eastAsia="宋体" w:cs="宋体"/>
          <w:b/>
          <w:bCs/>
          <w:sz w:val="24"/>
          <w:szCs w:val="24"/>
          <w:lang w:val="en-US" w:eastAsia="zh-CN"/>
        </w:rPr>
        <w:t>银行</w:t>
      </w:r>
      <w:r>
        <w:rPr>
          <w:rFonts w:hint="eastAsia" w:ascii="宋体" w:hAnsi="宋体" w:eastAsia="宋体" w:cs="宋体"/>
          <w:b/>
          <w:bCs/>
          <w:sz w:val="24"/>
          <w:szCs w:val="24"/>
        </w:rPr>
        <w:t>主张</w:t>
      </w:r>
      <w:r>
        <w:rPr>
          <w:rFonts w:hint="eastAsia" w:ascii="宋体" w:hAnsi="宋体" w:eastAsia="宋体" w:cs="宋体"/>
          <w:b/>
          <w:bCs/>
          <w:sz w:val="24"/>
          <w:szCs w:val="24"/>
          <w:lang w:val="en-US" w:eastAsia="zh-CN"/>
        </w:rPr>
        <w:t>缔约过失责任</w:t>
      </w:r>
      <w:r>
        <w:rPr>
          <w:rFonts w:hint="eastAsia" w:ascii="宋体" w:hAnsi="宋体" w:eastAsia="宋体" w:cs="宋体"/>
          <w:b/>
          <w:bCs/>
          <w:sz w:val="24"/>
          <w:szCs w:val="24"/>
        </w:rPr>
        <w:t>。</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ascii="宋体" w:hAnsi="宋体" w:eastAsia="宋体" w:cs="宋体"/>
          <w:b/>
          <w:bCs/>
          <w:sz w:val="24"/>
        </w:rPr>
      </w:pPr>
      <w:r>
        <w:rPr>
          <w:rFonts w:hint="eastAsia" w:ascii="宋体" w:hAnsi="宋体" w:eastAsia="宋体" w:cs="宋体"/>
          <w:b/>
          <w:bCs/>
          <w:sz w:val="24"/>
          <w:lang w:eastAsia="zh-CN"/>
        </w:rPr>
        <w:t>（</w:t>
      </w:r>
      <w:r>
        <w:rPr>
          <w:rFonts w:hint="eastAsia" w:ascii="宋体" w:hAnsi="宋体" w:eastAsia="宋体" w:cs="宋体"/>
          <w:b/>
          <w:bCs/>
          <w:sz w:val="24"/>
          <w:lang w:val="en-US" w:eastAsia="zh-CN"/>
        </w:rPr>
        <w:t>一</w:t>
      </w:r>
      <w:r>
        <w:rPr>
          <w:rFonts w:hint="eastAsia" w:ascii="宋体" w:hAnsi="宋体" w:eastAsia="宋体" w:cs="宋体"/>
          <w:b/>
          <w:bCs/>
          <w:sz w:val="24"/>
          <w:lang w:eastAsia="zh-CN"/>
        </w:rPr>
        <w:t>）</w:t>
      </w:r>
      <w:r>
        <w:rPr>
          <w:rFonts w:hint="eastAsia" w:ascii="宋体" w:hAnsi="宋体" w:eastAsia="宋体" w:cs="宋体"/>
          <w:b/>
          <w:bCs/>
          <w:sz w:val="24"/>
        </w:rPr>
        <w:t>请求权是否产生？</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储蓄</w:t>
      </w:r>
      <w:r>
        <w:rPr>
          <w:rFonts w:hint="eastAsia" w:ascii="宋体" w:hAnsi="宋体" w:cs="宋体"/>
          <w:szCs w:val="21"/>
        </w:rPr>
        <w:t>合同是否成立？</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szCs w:val="21"/>
        </w:rPr>
      </w:pPr>
      <w:r>
        <w:rPr>
          <w:rFonts w:hint="eastAsia" w:ascii="宋体" w:hAnsi="宋体" w:cs="宋体"/>
          <w:szCs w:val="21"/>
        </w:rPr>
        <w:t>合同成立的否成要件有三：（1）存在有效的要约；（2）存在有效的承诺；（3）要约与承诺内容一致。</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cs="宋体"/>
          <w:szCs w:val="21"/>
        </w:rPr>
      </w:pPr>
      <w:r>
        <w:rPr>
          <w:rFonts w:hint="eastAsia" w:ascii="宋体" w:hAnsi="宋体" w:cs="宋体"/>
          <w:szCs w:val="21"/>
        </w:rPr>
        <w:t>（1）是否存在有效的要约？</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rPr>
      </w:pPr>
      <w:r>
        <w:rPr>
          <w:rFonts w:hint="eastAsia"/>
        </w:rPr>
        <w:t>根据《合同法》第14条之规定，要约，是一方当事人以缔结合同为目的，向对方当事人提出合同条件，希望对方接受的意思表示。构成要件须符合以下条件:①要约必须是向特定人所为的意思表示；②要约必须向相对人发出；③要约必须具有缔结合同的目的；④要约的内容必须具体确定。</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lang w:val="en-US" w:eastAsia="zh-CN"/>
        </w:rPr>
      </w:pPr>
      <w:r>
        <w:rPr>
          <w:rFonts w:hint="eastAsia"/>
          <w:lang w:val="en-US" w:eastAsia="zh-CN"/>
        </w:rPr>
        <w:t>在实务中，储蓄活动可以描述为以下过程:储户填写存款凭条-一交付存款及凭条于储蓄机构工作人员-一储蓄机构工作人员接受存款和存款凭条-一储蓄机构工作人员清点钱款并确认数额--一打印</w:t>
      </w:r>
      <w:r>
        <w:rPr>
          <w:rFonts w:hint="eastAsia"/>
          <w:lang w:val="en-US" w:eastAsia="zh-CN"/>
        </w:rPr>
        <w:fldChar w:fldCharType="begin"/>
      </w:r>
      <w:r>
        <w:rPr>
          <w:rFonts w:hint="eastAsia"/>
          <w:lang w:val="en-US" w:eastAsia="zh-CN"/>
        </w:rPr>
        <w:instrText xml:space="preserve"> HYPERLINK "http://baike.so.com/doc/6264323-6477744.html" \t "http://baike.so.com/doc/_blank" </w:instrText>
      </w:r>
      <w:r>
        <w:rPr>
          <w:rFonts w:hint="eastAsia"/>
          <w:lang w:val="en-US" w:eastAsia="zh-CN"/>
        </w:rPr>
        <w:fldChar w:fldCharType="separate"/>
      </w:r>
      <w:r>
        <w:rPr>
          <w:rFonts w:hint="eastAsia"/>
          <w:lang w:val="en-US" w:eastAsia="zh-CN"/>
        </w:rPr>
        <w:t>存单</w:t>
      </w:r>
      <w:r>
        <w:rPr>
          <w:rFonts w:hint="eastAsia"/>
          <w:lang w:val="en-US" w:eastAsia="zh-CN"/>
        </w:rPr>
        <w:fldChar w:fldCharType="end"/>
      </w:r>
      <w:r>
        <w:rPr>
          <w:rFonts w:hint="eastAsia"/>
          <w:lang w:val="en-US" w:eastAsia="zh-CN"/>
        </w:rPr>
        <w:t>一盖经办人章-一将存单交付给储户。在这个过程中，储户以特定的储蓄目的进入储蓄机构、填写存款凭条并将凭条和货币实际交付给储蓄机构工作人员，应视为其希望和特定的储蓄机构订立合同的意思表示，应为储蓄合同的要约行为。</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eastAsia="宋体"/>
          <w:lang w:val="en-US" w:eastAsia="zh-CN"/>
        </w:rPr>
      </w:pPr>
      <w:r>
        <w:rPr>
          <w:rFonts w:hint="eastAsia"/>
          <w:lang w:val="en-US" w:eastAsia="zh-CN"/>
        </w:rPr>
        <w:t>在本案中，黄女士将其5万元及存折交付给银行，其行为可视为其希望和银行订立储蓄合同的意思表示，且内容具体明确，</w:t>
      </w:r>
      <w:r>
        <w:rPr>
          <w:rFonts w:hint="eastAsia" w:hAnsi="宋体" w:cs="仿宋"/>
          <w:kern w:val="0"/>
          <w:lang w:val="en-US" w:eastAsia="zh-CN"/>
        </w:rPr>
        <w:t>故存在有效的要约。</w:t>
      </w:r>
    </w:p>
    <w:p>
      <w:pPr>
        <w:keepNext w:val="0"/>
        <w:keepLines w:val="0"/>
        <w:pageBreakBefore w:val="0"/>
        <w:widowControl/>
        <w:numPr>
          <w:ilvl w:val="0"/>
          <w:numId w:val="22"/>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cs="宋体"/>
          <w:szCs w:val="21"/>
        </w:rPr>
      </w:pPr>
      <w:r>
        <w:rPr>
          <w:rFonts w:hint="eastAsia" w:ascii="宋体" w:hAnsi="宋体" w:cs="宋体"/>
          <w:szCs w:val="21"/>
        </w:rPr>
        <w:t>是否存在有效的承诺？</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szCs w:val="21"/>
        </w:rPr>
      </w:pPr>
      <w:r>
        <w:rPr>
          <w:rFonts w:hint="eastAsia" w:ascii="宋体" w:hAnsi="宋体" w:cs="宋体"/>
          <w:szCs w:val="21"/>
        </w:rPr>
        <w:t>根据《合同法》第21条之规定，承诺是受要约人做出的同意要约以成立合同的意思表示。其构成要件有三：①承诺必须是由受要约人所做出的意思表示，②承诺必须向要约人做出，③承诺的内容必须与要约的内容一致。</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szCs w:val="21"/>
        </w:rPr>
      </w:pPr>
      <w:r>
        <w:rPr>
          <w:rFonts w:hint="eastAsia" w:ascii="宋体" w:hAnsi="宋体" w:cs="宋体"/>
          <w:szCs w:val="21"/>
        </w:rPr>
        <w:t>《合同法》第25条规定，承诺生效时合同成立</w:t>
      </w:r>
      <w:r>
        <w:rPr>
          <w:rFonts w:hint="eastAsia" w:ascii="宋体" w:hAnsi="宋体" w:cs="宋体"/>
          <w:szCs w:val="21"/>
          <w:lang w:eastAsia="zh-CN"/>
        </w:rPr>
        <w:t>。</w:t>
      </w:r>
      <w:r>
        <w:rPr>
          <w:rFonts w:hint="eastAsia" w:ascii="宋体" w:hAnsi="宋体" w:cs="宋体"/>
          <w:szCs w:val="21"/>
        </w:rPr>
        <w:t>界定</w:t>
      </w:r>
      <w:r>
        <w:rPr>
          <w:rFonts w:hint="eastAsia" w:ascii="宋体" w:hAnsi="宋体" w:cs="宋体"/>
          <w:szCs w:val="21"/>
          <w:lang w:eastAsia="zh-CN"/>
        </w:rPr>
        <w:t>储蓄</w:t>
      </w:r>
      <w:r>
        <w:rPr>
          <w:rFonts w:hint="eastAsia" w:ascii="宋体" w:hAnsi="宋体" w:cs="宋体"/>
          <w:szCs w:val="21"/>
        </w:rPr>
        <w:t>合同承诺生效的时点至关重要</w:t>
      </w:r>
      <w:r>
        <w:rPr>
          <w:rFonts w:hint="eastAsia" w:ascii="宋体" w:hAnsi="宋体" w:cs="宋体"/>
          <w:szCs w:val="21"/>
          <w:lang w:eastAsia="zh-CN"/>
        </w:rPr>
        <w:t>，</w:t>
      </w:r>
      <w:r>
        <w:rPr>
          <w:rFonts w:hint="eastAsia" w:ascii="宋体" w:hAnsi="宋体" w:cs="宋体"/>
          <w:szCs w:val="21"/>
        </w:rPr>
        <w:t>它是储蓄合同成立的界定标准。</w:t>
      </w:r>
      <w:r>
        <w:rPr>
          <w:rFonts w:hint="eastAsia" w:ascii="宋体" w:hAnsi="宋体" w:cs="宋体"/>
          <w:szCs w:val="21"/>
          <w:lang w:val="en-US" w:eastAsia="zh-CN"/>
        </w:rPr>
        <w:t>由</w:t>
      </w:r>
      <w:r>
        <w:rPr>
          <w:rFonts w:hint="eastAsia" w:ascii="宋体" w:hAnsi="宋体" w:cs="宋体"/>
          <w:szCs w:val="21"/>
        </w:rPr>
        <w:t>前述储蓄业务的办理过程，对于储蓄合同承诺生效的时间，</w:t>
      </w:r>
      <w:r>
        <w:rPr>
          <w:rFonts w:hint="eastAsia" w:ascii="宋体" w:hAnsi="宋体" w:cs="宋体"/>
          <w:szCs w:val="21"/>
          <w:lang w:val="en-US" w:eastAsia="zh-CN"/>
        </w:rPr>
        <w:t>有四种情况</w:t>
      </w:r>
      <w:r>
        <w:rPr>
          <w:rFonts w:hint="eastAsia" w:ascii="宋体" w:hAnsi="宋体" w:cs="宋体"/>
          <w:szCs w:val="21"/>
        </w:rPr>
        <w:t>:①储蓄机构工作人员接受储户的存款是储蓄合同的承诺行为</w:t>
      </w:r>
      <w:r>
        <w:rPr>
          <w:rFonts w:hint="eastAsia" w:ascii="宋体" w:hAnsi="宋体" w:cs="宋体"/>
          <w:szCs w:val="21"/>
          <w:lang w:eastAsia="zh-CN"/>
        </w:rPr>
        <w:t>；</w:t>
      </w:r>
      <w:r>
        <w:rPr>
          <w:rFonts w:hint="eastAsia" w:ascii="宋体" w:hAnsi="宋体" w:cs="宋体"/>
          <w:szCs w:val="21"/>
        </w:rPr>
        <w:t>②工作人员清点钱款并将金额、期限等事项打印在存折或回单上的行为为承诺</w:t>
      </w:r>
      <w:r>
        <w:rPr>
          <w:rFonts w:hint="eastAsia" w:ascii="宋体" w:hAnsi="宋体" w:cs="宋体"/>
          <w:szCs w:val="21"/>
          <w:lang w:eastAsia="zh-CN"/>
        </w:rPr>
        <w:t>；</w:t>
      </w:r>
      <w:r>
        <w:rPr>
          <w:rFonts w:hint="eastAsia" w:ascii="宋体" w:hAnsi="宋体" w:cs="宋体"/>
          <w:szCs w:val="21"/>
        </w:rPr>
        <w:t>③工作人员盖经办人章以确认数额</w:t>
      </w:r>
      <w:r>
        <w:rPr>
          <w:rFonts w:hint="eastAsia" w:ascii="宋体" w:hAnsi="宋体" w:cs="宋体"/>
          <w:szCs w:val="21"/>
          <w:lang w:eastAsia="zh-CN"/>
        </w:rPr>
        <w:t>；</w:t>
      </w:r>
      <w:r>
        <w:rPr>
          <w:rFonts w:hint="eastAsia" w:ascii="宋体" w:hAnsi="宋体" w:eastAsia="宋体" w:cs="宋体"/>
          <w:szCs w:val="21"/>
        </w:rPr>
        <w:t>④</w:t>
      </w:r>
      <w:r>
        <w:rPr>
          <w:rFonts w:hint="eastAsia" w:ascii="宋体" w:hAnsi="宋体" w:cs="宋体"/>
          <w:szCs w:val="21"/>
        </w:rPr>
        <w:t>将存款或回单交付给储户后，承诺即为生效。根据《合同法》第26条规定</w:t>
      </w:r>
      <w:r>
        <w:rPr>
          <w:rFonts w:hint="eastAsia" w:ascii="宋体" w:hAnsi="宋体" w:cs="宋体"/>
          <w:szCs w:val="21"/>
          <w:lang w:eastAsia="zh-CN"/>
        </w:rPr>
        <w:t>，</w:t>
      </w:r>
      <w:r>
        <w:rPr>
          <w:rFonts w:hint="eastAsia" w:ascii="宋体" w:hAnsi="宋体" w:cs="宋体"/>
          <w:szCs w:val="21"/>
        </w:rPr>
        <w:t>在承诺采用通知的情况下，只有在承诺通知要求到达受要约人时承诺才生效</w:t>
      </w:r>
      <w:r>
        <w:rPr>
          <w:rFonts w:hint="eastAsia" w:ascii="宋体" w:hAnsi="宋体" w:cs="宋体"/>
          <w:szCs w:val="21"/>
          <w:lang w:eastAsia="zh-CN"/>
        </w:rPr>
        <w:t>；</w:t>
      </w:r>
      <w:r>
        <w:rPr>
          <w:rFonts w:hint="eastAsia" w:ascii="宋体" w:hAnsi="宋体" w:cs="宋体"/>
          <w:szCs w:val="21"/>
        </w:rPr>
        <w:t>承诺不需要通知的，根据交易习惯或者要约的要求作出承诺的行为是也即生效。虽然很难说储蓄存款合同承诺是否需要通知，但根据储蓄存款流程及交易习惯，一般在储户到储蓄机构柜台</w:t>
      </w:r>
      <w:r>
        <w:rPr>
          <w:rFonts w:hint="eastAsia" w:ascii="宋体" w:hAnsi="宋体" w:cs="宋体"/>
          <w:szCs w:val="21"/>
        </w:rPr>
        <w:fldChar w:fldCharType="begin"/>
      </w:r>
      <w:r>
        <w:rPr>
          <w:rFonts w:hint="eastAsia" w:ascii="宋体" w:hAnsi="宋体" w:cs="宋体"/>
          <w:szCs w:val="21"/>
        </w:rPr>
        <w:instrText xml:space="preserve"> HYPERLINK "http://baike.so.com/doc/5369262-5605113.html" \t "http://baike.so.com/doc/_blank" </w:instrText>
      </w:r>
      <w:r>
        <w:rPr>
          <w:rFonts w:hint="eastAsia" w:ascii="宋体" w:hAnsi="宋体" w:cs="宋体"/>
          <w:szCs w:val="21"/>
        </w:rPr>
        <w:fldChar w:fldCharType="separate"/>
      </w:r>
      <w:r>
        <w:rPr>
          <w:rFonts w:hint="eastAsia" w:ascii="宋体" w:hAnsi="宋体" w:cs="宋体"/>
          <w:szCs w:val="21"/>
        </w:rPr>
        <w:t>存款</w:t>
      </w:r>
      <w:r>
        <w:rPr>
          <w:rFonts w:hint="eastAsia" w:ascii="宋体" w:hAnsi="宋体" w:cs="宋体"/>
          <w:szCs w:val="21"/>
        </w:rPr>
        <w:fldChar w:fldCharType="end"/>
      </w:r>
      <w:r>
        <w:rPr>
          <w:rFonts w:hint="eastAsia" w:ascii="宋体" w:hAnsi="宋体" w:cs="宋体"/>
          <w:szCs w:val="21"/>
        </w:rPr>
        <w:t>时，储蓄机构不需要将承诺通过口头或书面通知的行为送达储户，只要储蓄机构在存折或</w:t>
      </w:r>
      <w:r>
        <w:rPr>
          <w:rFonts w:hint="eastAsia" w:ascii="宋体" w:hAnsi="宋体" w:cs="宋体"/>
          <w:szCs w:val="21"/>
        </w:rPr>
        <w:fldChar w:fldCharType="begin"/>
      </w:r>
      <w:r>
        <w:rPr>
          <w:rFonts w:hint="eastAsia" w:ascii="宋体" w:hAnsi="宋体" w:cs="宋体"/>
          <w:szCs w:val="21"/>
        </w:rPr>
        <w:instrText xml:space="preserve"> HYPERLINK "http://baike.so.com/doc/6264323-6477744.html" \t "http://baike.so.com/doc/_blank" </w:instrText>
      </w:r>
      <w:r>
        <w:rPr>
          <w:rFonts w:hint="eastAsia" w:ascii="宋体" w:hAnsi="宋体" w:cs="宋体"/>
          <w:szCs w:val="21"/>
        </w:rPr>
        <w:fldChar w:fldCharType="separate"/>
      </w:r>
      <w:r>
        <w:rPr>
          <w:rFonts w:hint="eastAsia" w:ascii="宋体" w:hAnsi="宋体" w:cs="宋体"/>
          <w:szCs w:val="21"/>
        </w:rPr>
        <w:t>存单</w:t>
      </w:r>
      <w:r>
        <w:rPr>
          <w:rFonts w:hint="eastAsia" w:ascii="宋体" w:hAnsi="宋体" w:cs="宋体"/>
          <w:szCs w:val="21"/>
        </w:rPr>
        <w:fldChar w:fldCharType="end"/>
      </w:r>
      <w:r>
        <w:rPr>
          <w:rFonts w:hint="eastAsia" w:ascii="宋体" w:hAnsi="宋体" w:cs="宋体"/>
          <w:szCs w:val="21"/>
        </w:rPr>
        <w:t>上盖章，作出了具体的承诺行为，承诺即可生效。学者认为，作为实践合同的储蓄合同，</w:t>
      </w:r>
      <w:r>
        <w:rPr>
          <w:rFonts w:hint="eastAsia" w:ascii="宋体" w:hAnsi="宋体" w:cs="宋体"/>
          <w:szCs w:val="21"/>
          <w:lang w:eastAsia="zh-CN"/>
        </w:rPr>
        <w:t>“</w:t>
      </w:r>
      <w:r>
        <w:rPr>
          <w:rFonts w:hint="eastAsia" w:ascii="宋体" w:hAnsi="宋体" w:cs="宋体"/>
          <w:szCs w:val="21"/>
        </w:rPr>
        <w:t>自</w:t>
      </w:r>
      <w:r>
        <w:rPr>
          <w:rFonts w:hint="eastAsia" w:ascii="宋体" w:hAnsi="宋体" w:cs="宋体"/>
          <w:szCs w:val="21"/>
        </w:rPr>
        <w:fldChar w:fldCharType="begin"/>
      </w:r>
      <w:r>
        <w:rPr>
          <w:rFonts w:hint="eastAsia" w:ascii="宋体" w:hAnsi="宋体" w:cs="宋体"/>
          <w:szCs w:val="21"/>
        </w:rPr>
        <w:instrText xml:space="preserve"> HYPERLINK "http://baike.so.com/doc/2218503-2347458.html" \t "http://baike.so.com/doc/_blank" </w:instrText>
      </w:r>
      <w:r>
        <w:rPr>
          <w:rFonts w:hint="eastAsia" w:ascii="宋体" w:hAnsi="宋体" w:cs="宋体"/>
          <w:szCs w:val="21"/>
        </w:rPr>
        <w:fldChar w:fldCharType="separate"/>
      </w:r>
      <w:r>
        <w:rPr>
          <w:rFonts w:hint="eastAsia" w:ascii="宋体" w:hAnsi="宋体" w:cs="宋体"/>
          <w:szCs w:val="21"/>
        </w:rPr>
        <w:t>存款人</w:t>
      </w:r>
      <w:r>
        <w:rPr>
          <w:rFonts w:hint="eastAsia" w:ascii="宋体" w:hAnsi="宋体" w:cs="宋体"/>
          <w:szCs w:val="21"/>
        </w:rPr>
        <w:fldChar w:fldCharType="end"/>
      </w:r>
      <w:r>
        <w:rPr>
          <w:rFonts w:hint="eastAsia" w:ascii="宋体" w:hAnsi="宋体" w:cs="宋体"/>
          <w:szCs w:val="21"/>
        </w:rPr>
        <w:t>将货币交付于金融机构之时起，合同成立</w:t>
      </w:r>
      <w:r>
        <w:rPr>
          <w:rFonts w:hint="eastAsia" w:ascii="宋体" w:hAnsi="宋体" w:cs="宋体"/>
          <w:szCs w:val="21"/>
          <w:lang w:eastAsia="zh-CN"/>
        </w:rPr>
        <w:t>”</w:t>
      </w:r>
      <w:r>
        <w:rPr>
          <w:rFonts w:hint="eastAsia" w:ascii="宋体" w:hAnsi="宋体" w:cs="宋体"/>
          <w:szCs w:val="21"/>
        </w:rPr>
        <w:t>。</w:t>
      </w:r>
      <w:r>
        <w:rPr>
          <w:rStyle w:val="12"/>
          <w:rFonts w:hint="eastAsia" w:ascii="宋体" w:hAnsi="宋体" w:cs="宋体"/>
          <w:szCs w:val="21"/>
        </w:rPr>
        <w:t>[</w:t>
      </w:r>
      <w:r>
        <w:rPr>
          <w:rStyle w:val="12"/>
          <w:rFonts w:hint="eastAsia" w:ascii="宋体" w:hAnsi="宋体" w:cs="宋体"/>
          <w:szCs w:val="21"/>
        </w:rPr>
        <w:footnoteReference w:id="146"/>
      </w:r>
      <w:r>
        <w:rPr>
          <w:rStyle w:val="12"/>
          <w:rFonts w:hint="eastAsia" w:ascii="宋体" w:hAnsi="宋体" w:cs="宋体"/>
          <w:szCs w:val="21"/>
        </w:rPr>
        <w:t>]</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szCs w:val="21"/>
          <w:lang w:val="en-US" w:eastAsia="zh-CN"/>
        </w:rPr>
      </w:pPr>
      <w:r>
        <w:rPr>
          <w:rFonts w:hint="eastAsia" w:ascii="宋体" w:hAnsi="宋体" w:cs="宋体"/>
          <w:szCs w:val="21"/>
          <w:lang w:val="en-US" w:eastAsia="zh-CN"/>
        </w:rPr>
        <w:t>在本案中，银行对黄女士</w:t>
      </w:r>
      <w:r>
        <w:rPr>
          <w:rFonts w:hint="eastAsia"/>
          <w:lang w:val="en-US" w:eastAsia="zh-CN"/>
        </w:rPr>
        <w:t>将其5万元交付给银行时，可视为银行作出了有效的承诺。而且，要约与承诺的内容一致，故</w:t>
      </w:r>
      <w:r>
        <w:rPr>
          <w:rFonts w:hint="eastAsia" w:ascii="宋体" w:hAnsi="宋体" w:cs="宋体"/>
          <w:szCs w:val="21"/>
          <w:lang w:val="en-US" w:eastAsia="zh-CN"/>
        </w:rPr>
        <w:t>黄女士与银行之间的储蓄合同成立。</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cs="宋体"/>
          <w:szCs w:val="21"/>
        </w:rPr>
      </w:pPr>
      <w:r>
        <w:rPr>
          <w:rFonts w:hint="eastAsia" w:ascii="宋体" w:hAnsi="宋体" w:cs="宋体"/>
          <w:szCs w:val="21"/>
          <w:lang w:val="en-US" w:eastAsia="zh-CN"/>
        </w:rPr>
        <w:t>2、储蓄</w:t>
      </w:r>
      <w:r>
        <w:rPr>
          <w:rFonts w:hint="eastAsia" w:ascii="宋体" w:hAnsi="宋体" w:cs="宋体"/>
          <w:szCs w:val="21"/>
        </w:rPr>
        <w:t>合同是否有效？</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szCs w:val="21"/>
        </w:rPr>
      </w:pPr>
      <w:r>
        <w:rPr>
          <w:rFonts w:hint="eastAsia" w:ascii="宋体" w:hAnsi="宋体" w:cs="宋体"/>
          <w:szCs w:val="21"/>
        </w:rPr>
        <w:t>储蓄合同的生效必须符合《民法通则》第55条和56条规定的法律行为的生效要件</w:t>
      </w: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当事人具有相应的行为能力</w:t>
      </w: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rPr>
        <w:t>意思表示真实</w:t>
      </w:r>
      <w:r>
        <w:rPr>
          <w:rFonts w:hint="eastAsia" w:ascii="宋体" w:hAnsi="宋体" w:cs="宋体"/>
          <w:szCs w:val="21"/>
          <w:lang w:eastAsia="zh-CN"/>
        </w:rPr>
        <w:t>；（</w:t>
      </w:r>
      <w:r>
        <w:rPr>
          <w:rFonts w:hint="eastAsia" w:ascii="宋体" w:hAnsi="宋体" w:cs="宋体"/>
          <w:szCs w:val="21"/>
          <w:lang w:val="en-US" w:eastAsia="zh-CN"/>
        </w:rPr>
        <w:t>3</w:t>
      </w:r>
      <w:r>
        <w:rPr>
          <w:rFonts w:hint="eastAsia" w:ascii="宋体" w:hAnsi="宋体" w:cs="宋体"/>
          <w:szCs w:val="21"/>
          <w:lang w:eastAsia="zh-CN"/>
        </w:rPr>
        <w:t>）</w:t>
      </w:r>
      <w:r>
        <w:rPr>
          <w:rFonts w:hint="eastAsia" w:ascii="宋体" w:hAnsi="宋体" w:cs="宋体"/>
          <w:szCs w:val="21"/>
        </w:rPr>
        <w:t>不违反法律以及社会公共利益</w:t>
      </w:r>
      <w:r>
        <w:rPr>
          <w:rFonts w:hint="eastAsia" w:ascii="宋体" w:hAnsi="宋体" w:cs="宋体"/>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Chars="0" w:right="0" w:rightChars="0"/>
        <w:jc w:val="left"/>
        <w:textAlignment w:val="auto"/>
        <w:outlineLvl w:val="9"/>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cs="宋体"/>
          <w:szCs w:val="21"/>
        </w:rPr>
        <w:t>当事人</w:t>
      </w:r>
      <w:r>
        <w:rPr>
          <w:rFonts w:hint="eastAsia" w:ascii="宋体" w:hAnsi="宋体" w:cs="宋体"/>
          <w:szCs w:val="21"/>
          <w:lang w:val="en-US" w:eastAsia="zh-CN"/>
        </w:rPr>
        <w:t>是否</w:t>
      </w:r>
      <w:r>
        <w:rPr>
          <w:rFonts w:hint="eastAsia" w:ascii="宋体" w:hAnsi="宋体" w:cs="宋体"/>
          <w:szCs w:val="21"/>
        </w:rPr>
        <w:t>具有相应的行为能力</w:t>
      </w:r>
      <w:r>
        <w:rPr>
          <w:rFonts w:hint="eastAsia" w:ascii="宋体" w:hAnsi="宋体" w:cs="宋体"/>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szCs w:val="21"/>
        </w:rPr>
      </w:pPr>
      <w:r>
        <w:rPr>
          <w:rFonts w:hint="eastAsia" w:ascii="宋体" w:hAnsi="宋体" w:cs="宋体"/>
          <w:szCs w:val="21"/>
        </w:rPr>
        <w:t>根据《储蓄管理条例》第</w:t>
      </w:r>
      <w:r>
        <w:rPr>
          <w:rFonts w:hint="eastAsia" w:ascii="宋体" w:hAnsi="宋体" w:cs="宋体"/>
          <w:szCs w:val="21"/>
          <w:lang w:val="en-US" w:eastAsia="zh-CN"/>
        </w:rPr>
        <w:t>3</w:t>
      </w:r>
      <w:r>
        <w:rPr>
          <w:rFonts w:hint="eastAsia" w:ascii="宋体" w:hAnsi="宋体" w:cs="宋体"/>
          <w:szCs w:val="21"/>
        </w:rPr>
        <w:t>条的规定，储蓄合同当事人一方的储户必须为自然人，法人或者其他组织不能成为储蓄合同存款当事人主体。这里的自然人是指有权接受银行服务地或开立帐户与商业银行发生业务关系的自然人。</w:t>
      </w:r>
      <w:r>
        <w:rPr>
          <w:rFonts w:hint="eastAsia" w:ascii="宋体" w:hAnsi="宋体" w:cs="宋体"/>
          <w:szCs w:val="21"/>
          <w:lang w:val="en-US" w:eastAsia="zh-CN"/>
        </w:rPr>
        <w:t>黄女士作为成年人，银行作为法人显然是具有相应的行为能力。</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Chars="0" w:right="0" w:rightChars="0"/>
        <w:jc w:val="left"/>
        <w:textAlignment w:val="auto"/>
        <w:outlineLvl w:val="9"/>
        <w:rPr>
          <w:rFonts w:hint="eastAsia"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rPr>
        <w:t>意思表示</w:t>
      </w:r>
      <w:r>
        <w:rPr>
          <w:rFonts w:hint="eastAsia" w:ascii="宋体" w:hAnsi="宋体" w:cs="宋体"/>
          <w:szCs w:val="21"/>
          <w:lang w:val="en-US" w:eastAsia="zh-CN"/>
        </w:rPr>
        <w:t>是否</w:t>
      </w:r>
      <w:r>
        <w:rPr>
          <w:rFonts w:hint="eastAsia" w:ascii="宋体" w:hAnsi="宋体" w:cs="宋体"/>
          <w:szCs w:val="21"/>
        </w:rPr>
        <w:t>真实</w:t>
      </w:r>
      <w:r>
        <w:rPr>
          <w:rFonts w:hint="eastAsia" w:ascii="宋体" w:hAnsi="宋体" w:cs="宋体"/>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szCs w:val="21"/>
        </w:rPr>
      </w:pPr>
      <w:r>
        <w:rPr>
          <w:rFonts w:hint="eastAsia" w:ascii="宋体" w:hAnsi="宋体" w:cs="宋体"/>
          <w:szCs w:val="21"/>
        </w:rPr>
        <w:t>行为人表现于外部的表示与其内在的真实意志相一致，而且此种意思是由当事人自由产生并对外表示的，未受外界的任何强制、不当干涉或者影响。事人意思表示不真实的常见情况有受协迫、受欺诈、重大误解等。</w:t>
      </w:r>
      <w:r>
        <w:rPr>
          <w:rFonts w:hint="eastAsia" w:ascii="宋体" w:hAnsi="宋体" w:cs="宋体"/>
          <w:szCs w:val="21"/>
          <w:lang w:val="en-US" w:eastAsia="zh-CN"/>
        </w:rPr>
        <w:t>本案中，黄女士的误存的行为可能构成重大误解。根据《民通意见》第73条，重大误解的构成要件有三：</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①表意人对合同内容发生重大误解。错误须具有主观重要性或客观重要性，不是鸡毛蒜皮的小事、无关宏旨的错误。所谓“主观重要性”，指若表意人知悉实情就不会作出此等意思表示；所谓“客观重要性”，指表意人经理智评价即不会作出此等意思表示。本案中，黄女士将5万元误存入已故前夫的存折，属于主观重要性错误，较大的错误。</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②因为误解，致使表意人表示出来的意思与其内心真意不一致。本案中，黄女士因拿错存折，将5万元误存入已故前夫的存折，与其内心意思不一致。</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③表意人因误解遭受较大损失。本案中，黄女士将5万元误存入已故前夫的存折，导致其损失了对该5万元的所有权。</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Cs w:val="21"/>
          <w:lang w:val="en-US" w:eastAsia="zh-CN"/>
        </w:rPr>
      </w:pPr>
      <w:r>
        <w:rPr>
          <w:rFonts w:hint="eastAsia" w:ascii="宋体" w:hAnsi="宋体" w:eastAsia="宋体" w:cs="宋体"/>
          <w:szCs w:val="21"/>
          <w:lang w:val="en-US" w:eastAsia="zh-CN"/>
        </w:rPr>
        <w:t>因此，本案黄女士的意思表示不真实。</w:t>
      </w:r>
    </w:p>
    <w:p>
      <w:pPr>
        <w:keepNext w:val="0"/>
        <w:keepLines w:val="0"/>
        <w:pageBreakBefore w:val="0"/>
        <w:widowControl/>
        <w:numPr>
          <w:ilvl w:val="0"/>
          <w:numId w:val="19"/>
        </w:numPr>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ascii="宋体" w:hAnsi="宋体" w:cs="宋体"/>
          <w:szCs w:val="21"/>
          <w:lang w:eastAsia="zh-CN"/>
        </w:rPr>
      </w:pPr>
      <w:r>
        <w:rPr>
          <w:rFonts w:hint="eastAsia" w:ascii="宋体" w:hAnsi="宋体" w:cs="宋体"/>
          <w:szCs w:val="21"/>
          <w:lang w:val="en-US" w:eastAsia="zh-CN"/>
        </w:rPr>
        <w:t>是否</w:t>
      </w:r>
      <w:r>
        <w:rPr>
          <w:rFonts w:hint="eastAsia" w:ascii="宋体" w:hAnsi="宋体" w:cs="宋体"/>
          <w:szCs w:val="21"/>
        </w:rPr>
        <w:t>违反法律以及社会公共利益</w:t>
      </w:r>
      <w:r>
        <w:rPr>
          <w:rFonts w:hint="eastAsia" w:ascii="宋体" w:hAnsi="宋体" w:cs="宋体"/>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szCs w:val="21"/>
        </w:rPr>
      </w:pPr>
      <w:r>
        <w:rPr>
          <w:rFonts w:hint="eastAsia" w:ascii="宋体" w:hAnsi="宋体" w:cs="宋体"/>
          <w:szCs w:val="21"/>
          <w:lang w:val="en-US" w:eastAsia="zh-CN"/>
        </w:rPr>
        <w:t>本案未违反法律以及社会公共利益。</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Cs w:val="21"/>
          <w:lang w:val="en-US" w:eastAsia="zh-CN"/>
        </w:rPr>
      </w:pPr>
      <w:r>
        <w:rPr>
          <w:rFonts w:hint="eastAsia" w:ascii="宋体" w:hAnsi="宋体" w:cs="宋体"/>
          <w:szCs w:val="21"/>
          <w:lang w:val="en-US" w:eastAsia="zh-CN"/>
        </w:rPr>
        <w:t>综上所述，本案不符合储蓄合同生效的第二个要件，黄女士对合同内容存在重大误解，储蓄合同的效力为可撤销。</w:t>
      </w:r>
    </w:p>
    <w:p>
      <w:pPr>
        <w:keepNext w:val="0"/>
        <w:keepLines w:val="0"/>
        <w:pageBreakBefore w:val="0"/>
        <w:widowControl/>
        <w:numPr>
          <w:ilvl w:val="0"/>
          <w:numId w:val="23"/>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cs="宋体"/>
          <w:szCs w:val="21"/>
        </w:rPr>
      </w:pPr>
      <w:r>
        <w:rPr>
          <w:rFonts w:hint="eastAsia" w:ascii="宋体" w:hAnsi="宋体" w:cs="宋体"/>
          <w:szCs w:val="21"/>
          <w:lang w:val="en-US" w:eastAsia="zh-CN"/>
        </w:rPr>
        <w:t>是否构成缔约过失责任？</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szCs w:val="21"/>
          <w:lang w:val="en-US" w:eastAsia="zh-CN"/>
        </w:rPr>
      </w:pPr>
      <w:r>
        <w:rPr>
          <w:rFonts w:hint="eastAsia" w:ascii="宋体" w:hAnsi="宋体" w:cs="宋体"/>
          <w:szCs w:val="21"/>
          <w:lang w:val="en-US" w:eastAsia="zh-CN"/>
        </w:rPr>
        <w:t>《合同法》第42条确立了缔约过失责任，该条规定：当事人在订立合同过程中有下列情形之一，给对方造成损失的，应当承担损害赔偿责任：(一)假借订立合同，恶意进行磋商；(二)故意隐瞒与订立合同有关的重要事实或者提供虚假情况；(三)有其他违背诚实信用原则的行为。</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szCs w:val="21"/>
          <w:lang w:val="en-US" w:eastAsia="zh-CN"/>
        </w:rPr>
      </w:pPr>
      <w:r>
        <w:rPr>
          <w:rFonts w:hint="eastAsia" w:ascii="宋体" w:hAnsi="宋体" w:cs="宋体"/>
          <w:szCs w:val="21"/>
          <w:lang w:val="en-US" w:eastAsia="zh-CN"/>
        </w:rPr>
        <w:t>缔约过失责任构成要件有三：</w:t>
      </w:r>
      <w:r>
        <w:rPr>
          <w:rFonts w:hint="eastAsia" w:hAnsi="宋体" w:cs="宋体"/>
          <w:szCs w:val="21"/>
          <w:lang w:val="en-US" w:eastAsia="zh-CN"/>
        </w:rPr>
        <w:t>（1）</w:t>
      </w:r>
      <w:r>
        <w:rPr>
          <w:rFonts w:hint="eastAsia" w:ascii="宋体" w:hAnsi="宋体" w:cs="宋体"/>
          <w:szCs w:val="21"/>
          <w:lang w:val="en-US" w:eastAsia="zh-CN"/>
        </w:rPr>
        <w:t>当事人为了订立合同而接触或磋商；</w:t>
      </w:r>
      <w:r>
        <w:rPr>
          <w:rFonts w:hint="eastAsia" w:hAnsi="宋体" w:cs="宋体"/>
          <w:szCs w:val="21"/>
          <w:lang w:val="en-US" w:eastAsia="zh-CN"/>
        </w:rPr>
        <w:t>（2）</w:t>
      </w:r>
      <w:r>
        <w:rPr>
          <w:rFonts w:hint="eastAsia" w:ascii="宋体" w:hAnsi="宋体" w:cs="宋体"/>
          <w:szCs w:val="21"/>
          <w:lang w:val="en-US" w:eastAsia="zh-CN"/>
        </w:rPr>
        <w:t>一方因过错违反协助、照顾、保护、忠实、通知、保密等先合同义务；</w:t>
      </w:r>
      <w:r>
        <w:rPr>
          <w:rFonts w:hint="eastAsia" w:hAnsi="宋体" w:cs="宋体"/>
          <w:szCs w:val="21"/>
          <w:lang w:val="en-US" w:eastAsia="zh-CN"/>
        </w:rPr>
        <w:t>（3）</w:t>
      </w:r>
      <w:r>
        <w:rPr>
          <w:rFonts w:hint="eastAsia" w:ascii="宋体" w:hAnsi="宋体" w:cs="宋体"/>
          <w:szCs w:val="21"/>
          <w:lang w:val="en-US" w:eastAsia="zh-CN"/>
        </w:rPr>
        <w:t>给对方造成合理的信赖利益的损失。</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right="0" w:rightChars="0"/>
        <w:jc w:val="left"/>
        <w:textAlignment w:val="auto"/>
        <w:outlineLvl w:val="9"/>
        <w:rPr>
          <w:rFonts w:hint="eastAsia" w:ascii="宋体" w:hAnsi="宋体" w:cs="宋体"/>
          <w:szCs w:val="21"/>
          <w:lang w:val="en-US" w:eastAsia="zh-CN"/>
        </w:rPr>
      </w:pPr>
      <w:bookmarkStart w:id="111" w:name="OLE_LINK5"/>
      <w:r>
        <w:rPr>
          <w:rFonts w:hint="eastAsia" w:hAnsi="宋体" w:cs="宋体"/>
          <w:szCs w:val="21"/>
          <w:lang w:val="en-US" w:eastAsia="zh-CN"/>
        </w:rPr>
        <w:t>（1）</w:t>
      </w:r>
      <w:r>
        <w:rPr>
          <w:rFonts w:hint="eastAsia" w:ascii="宋体" w:hAnsi="宋体" w:cs="宋体"/>
          <w:szCs w:val="21"/>
          <w:lang w:val="en-US" w:eastAsia="zh-CN"/>
        </w:rPr>
        <w:t>当事人为了订立合同而接触或磋商</w:t>
      </w:r>
      <w:bookmarkEnd w:id="111"/>
      <w:r>
        <w:rPr>
          <w:rFonts w:hint="eastAsia" w:ascii="宋体" w:hAnsi="宋体" w:cs="宋体"/>
          <w:szCs w:val="21"/>
          <w:lang w:val="en-US" w:eastAsia="zh-CN"/>
        </w:rPr>
        <w:t>。本案中，黄女士与银行都是为了订立储蓄合同而接触。</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right="0" w:rightChars="0"/>
        <w:jc w:val="left"/>
        <w:textAlignment w:val="auto"/>
        <w:outlineLvl w:val="9"/>
        <w:rPr>
          <w:rFonts w:hint="eastAsia" w:ascii="宋体" w:hAnsi="宋体" w:cs="宋体"/>
          <w:szCs w:val="21"/>
          <w:lang w:val="en-US" w:eastAsia="zh-CN"/>
        </w:rPr>
      </w:pPr>
      <w:bookmarkStart w:id="112" w:name="OLE_LINK6"/>
      <w:r>
        <w:rPr>
          <w:rFonts w:hint="eastAsia" w:hAnsi="宋体" w:cs="宋体"/>
          <w:szCs w:val="21"/>
          <w:lang w:val="en-US" w:eastAsia="zh-CN"/>
        </w:rPr>
        <w:t>（2）</w:t>
      </w:r>
      <w:r>
        <w:rPr>
          <w:rFonts w:hint="eastAsia" w:ascii="宋体" w:hAnsi="宋体" w:cs="宋体"/>
          <w:szCs w:val="21"/>
          <w:lang w:val="en-US" w:eastAsia="zh-CN"/>
        </w:rPr>
        <w:t>一方因过错违反协助、照顾、保护、忠实、通知、保密等先合同义务</w:t>
      </w:r>
      <w:bookmarkEnd w:id="112"/>
      <w:r>
        <w:rPr>
          <w:rFonts w:hint="eastAsia" w:ascii="宋体" w:hAnsi="宋体" w:cs="宋体"/>
          <w:szCs w:val="21"/>
          <w:lang w:val="en-US" w:eastAsia="zh-CN"/>
        </w:rPr>
        <w:t>。本案中，银行有提醒黄女士注意存折账户人姓名以及数额的义务，但是银行未尽该义务。</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right="0" w:rightChars="0"/>
        <w:jc w:val="left"/>
        <w:textAlignment w:val="auto"/>
        <w:outlineLvl w:val="9"/>
        <w:rPr>
          <w:rFonts w:hint="eastAsia" w:ascii="宋体" w:hAnsi="宋体" w:cs="宋体"/>
          <w:szCs w:val="21"/>
          <w:lang w:val="en-US" w:eastAsia="zh-CN"/>
        </w:rPr>
      </w:pPr>
      <w:bookmarkStart w:id="113" w:name="OLE_LINK7"/>
      <w:r>
        <w:rPr>
          <w:rFonts w:hint="eastAsia" w:hAnsi="宋体" w:cs="宋体"/>
          <w:szCs w:val="21"/>
          <w:lang w:val="en-US" w:eastAsia="zh-CN"/>
        </w:rPr>
        <w:t>（3）</w:t>
      </w:r>
      <w:r>
        <w:rPr>
          <w:rFonts w:hint="eastAsia" w:ascii="宋体" w:hAnsi="宋体" w:cs="宋体"/>
          <w:szCs w:val="21"/>
          <w:lang w:val="en-US" w:eastAsia="zh-CN"/>
        </w:rPr>
        <w:t>给对方造成合理的信赖利益的损失。</w:t>
      </w:r>
      <w:bookmarkEnd w:id="113"/>
      <w:r>
        <w:rPr>
          <w:rFonts w:hint="eastAsia" w:ascii="宋体" w:hAnsi="宋体" w:cs="宋体"/>
          <w:szCs w:val="21"/>
          <w:lang w:val="en-US" w:eastAsia="zh-CN"/>
        </w:rPr>
        <w:t>本案中，黄女士基于对银行的信任将5万元存入其所持存折中，银行工作人员</w:t>
      </w:r>
      <w:r>
        <w:rPr>
          <w:rFonts w:hint="eastAsia" w:hAnsi="宋体" w:cs="宋体"/>
          <w:szCs w:val="21"/>
          <w:lang w:val="en-US" w:eastAsia="zh-CN"/>
        </w:rPr>
        <w:t>有义务</w:t>
      </w:r>
      <w:r>
        <w:rPr>
          <w:rFonts w:hint="eastAsia" w:ascii="宋体" w:hAnsi="宋体" w:cs="宋体"/>
          <w:szCs w:val="21"/>
          <w:lang w:val="en-US" w:eastAsia="zh-CN"/>
        </w:rPr>
        <w:t>提醒黄女士注意</w:t>
      </w:r>
      <w:r>
        <w:rPr>
          <w:rFonts w:hint="eastAsia" w:hAnsi="宋体" w:cs="宋体"/>
          <w:szCs w:val="21"/>
          <w:lang w:val="en-US" w:eastAsia="zh-CN"/>
        </w:rPr>
        <w:t>存折相关信息</w:t>
      </w:r>
      <w:r>
        <w:rPr>
          <w:rFonts w:hint="eastAsia" w:ascii="宋体" w:hAnsi="宋体" w:cs="宋体"/>
          <w:szCs w:val="21"/>
          <w:lang w:val="en-US" w:eastAsia="zh-CN"/>
        </w:rPr>
        <w:t>，</w:t>
      </w:r>
      <w:r>
        <w:rPr>
          <w:rFonts w:hint="eastAsia" w:hAnsi="宋体" w:cs="宋体"/>
          <w:szCs w:val="21"/>
          <w:lang w:val="en-US" w:eastAsia="zh-CN"/>
        </w:rPr>
        <w:t>但是银行方未尽该义务即存有过错，</w:t>
      </w:r>
      <w:r>
        <w:rPr>
          <w:rFonts w:hint="eastAsia" w:ascii="宋体" w:hAnsi="宋体" w:cs="宋体"/>
          <w:szCs w:val="21"/>
          <w:lang w:val="en-US" w:eastAsia="zh-CN"/>
        </w:rPr>
        <w:t>造成了黄女士5万元的损失。</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Chars="200" w:right="0" w:rightChars="0"/>
        <w:jc w:val="left"/>
        <w:textAlignment w:val="auto"/>
        <w:outlineLvl w:val="9"/>
        <w:rPr>
          <w:rFonts w:hint="eastAsia" w:ascii="宋体" w:hAnsi="宋体" w:cs="宋体"/>
          <w:szCs w:val="21"/>
          <w:lang w:val="en-US" w:eastAsia="zh-CN"/>
        </w:rPr>
      </w:pPr>
      <w:r>
        <w:rPr>
          <w:rFonts w:hint="eastAsia" w:ascii="宋体" w:hAnsi="宋体" w:cs="宋体"/>
          <w:szCs w:val="21"/>
          <w:lang w:val="en-US" w:eastAsia="zh-CN"/>
        </w:rPr>
        <w:t>综上，</w:t>
      </w:r>
      <w:r>
        <w:rPr>
          <w:rFonts w:hint="eastAsia" w:hAnsi="宋体" w:cs="宋体"/>
          <w:szCs w:val="21"/>
          <w:lang w:val="en-US" w:eastAsia="zh-CN"/>
        </w:rPr>
        <w:t>本案符合以上所有要件，故</w:t>
      </w:r>
      <w:r>
        <w:rPr>
          <w:rFonts w:hint="eastAsia" w:ascii="宋体" w:hAnsi="宋体" w:cs="宋体"/>
          <w:szCs w:val="21"/>
          <w:lang w:val="en-US" w:eastAsia="zh-CN"/>
        </w:rPr>
        <w:t>黄女士可以依据《合同法》第42条向银行主张缔约过失的损害赔偿责任。</w:t>
      </w:r>
    </w:p>
    <w:p>
      <w:pPr>
        <w:keepNext w:val="0"/>
        <w:keepLines w:val="0"/>
        <w:pageBreakBefore w:val="0"/>
        <w:widowControl/>
        <w:numPr>
          <w:ilvl w:val="0"/>
          <w:numId w:val="23"/>
        </w:numPr>
        <w:kinsoku/>
        <w:wordWrap/>
        <w:overflowPunct/>
        <w:topLinePunct w:val="0"/>
        <w:autoSpaceDE/>
        <w:autoSpaceDN/>
        <w:bidi w:val="0"/>
        <w:adjustRightInd/>
        <w:snapToGrid/>
        <w:spacing w:line="288" w:lineRule="auto"/>
        <w:ind w:left="0" w:leftChars="0" w:right="0" w:rightChars="0"/>
        <w:textAlignment w:val="auto"/>
        <w:outlineLvl w:val="9"/>
        <w:rPr>
          <w:rFonts w:hint="eastAsia" w:ascii="宋体" w:hAnsi="宋体" w:cs="宋体"/>
          <w:szCs w:val="21"/>
        </w:rPr>
      </w:pPr>
      <w:r>
        <w:rPr>
          <w:rFonts w:hint="eastAsia" w:ascii="宋体" w:hAnsi="宋体" w:cs="宋体"/>
          <w:szCs w:val="21"/>
        </w:rPr>
        <w:t>中间结论</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szCs w:val="21"/>
        </w:rPr>
      </w:pPr>
      <w:r>
        <w:rPr>
          <w:rFonts w:hint="eastAsia" w:ascii="宋体" w:hAnsi="宋体" w:cs="宋体"/>
          <w:szCs w:val="21"/>
          <w:lang w:val="en-US" w:eastAsia="zh-CN"/>
        </w:rPr>
        <w:t>黄女士</w:t>
      </w:r>
      <w:r>
        <w:rPr>
          <w:rFonts w:hint="eastAsia" w:ascii="宋体" w:hAnsi="宋体" w:cs="宋体"/>
          <w:szCs w:val="21"/>
        </w:rPr>
        <w:t>可以依据《</w:t>
      </w:r>
      <w:r>
        <w:rPr>
          <w:rFonts w:hint="eastAsia" w:ascii="宋体" w:hAnsi="宋体" w:cs="宋体"/>
          <w:szCs w:val="21"/>
          <w:lang w:val="en-US" w:eastAsia="zh-CN"/>
        </w:rPr>
        <w:t>合同法</w:t>
      </w:r>
      <w:r>
        <w:rPr>
          <w:rFonts w:hint="eastAsia" w:ascii="宋体" w:hAnsi="宋体" w:cs="宋体"/>
          <w:szCs w:val="21"/>
        </w:rPr>
        <w:t>》第</w:t>
      </w:r>
      <w:r>
        <w:rPr>
          <w:rFonts w:hint="eastAsia" w:ascii="宋体" w:hAnsi="宋体" w:cs="宋体"/>
          <w:szCs w:val="21"/>
          <w:lang w:val="en-US" w:eastAsia="zh-CN"/>
        </w:rPr>
        <w:t>42</w:t>
      </w:r>
      <w:r>
        <w:rPr>
          <w:rFonts w:hint="eastAsia" w:ascii="宋体" w:hAnsi="宋体" w:cs="宋体"/>
          <w:szCs w:val="21"/>
        </w:rPr>
        <w:t>条向</w:t>
      </w:r>
      <w:r>
        <w:rPr>
          <w:rFonts w:hint="eastAsia" w:ascii="宋体" w:hAnsi="宋体" w:cs="宋体"/>
          <w:szCs w:val="21"/>
          <w:lang w:val="en-US" w:eastAsia="zh-CN"/>
        </w:rPr>
        <w:t>银行</w:t>
      </w:r>
      <w:r>
        <w:rPr>
          <w:rFonts w:hint="eastAsia" w:ascii="宋体" w:hAnsi="宋体" w:cs="宋体"/>
          <w:szCs w:val="21"/>
        </w:rPr>
        <w:t>主张</w:t>
      </w:r>
      <w:r>
        <w:rPr>
          <w:rFonts w:hint="eastAsia" w:ascii="宋体" w:hAnsi="宋体" w:cs="宋体"/>
          <w:szCs w:val="21"/>
          <w:lang w:val="en-US" w:eastAsia="zh-CN"/>
        </w:rPr>
        <w:t>缔约过失责任</w:t>
      </w:r>
      <w:r>
        <w:rPr>
          <w:rFonts w:hint="eastAsia" w:ascii="宋体" w:hAnsi="宋体" w:cs="宋体"/>
          <w:szCs w:val="21"/>
        </w:rPr>
        <w:t>。</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eastAsia="宋体" w:cs="宋体"/>
          <w:b/>
          <w:bCs/>
          <w:sz w:val="24"/>
        </w:rPr>
      </w:pPr>
      <w:r>
        <w:rPr>
          <w:rFonts w:hint="eastAsia" w:hAnsi="宋体" w:cs="宋体"/>
          <w:b/>
          <w:bCs/>
          <w:sz w:val="24"/>
          <w:lang w:eastAsia="zh-CN"/>
        </w:rPr>
        <w:t>（</w:t>
      </w:r>
      <w:r>
        <w:rPr>
          <w:rFonts w:hint="eastAsia" w:hAnsi="宋体" w:cs="宋体"/>
          <w:b/>
          <w:bCs/>
          <w:sz w:val="24"/>
          <w:lang w:val="en-US" w:eastAsia="zh-CN"/>
        </w:rPr>
        <w:t>二</w:t>
      </w:r>
      <w:r>
        <w:rPr>
          <w:rFonts w:hint="eastAsia" w:hAnsi="宋体" w:cs="宋体"/>
          <w:b/>
          <w:bCs/>
          <w:sz w:val="24"/>
          <w:lang w:eastAsia="zh-CN"/>
        </w:rPr>
        <w:t>）</w:t>
      </w:r>
      <w:r>
        <w:rPr>
          <w:rFonts w:hint="eastAsia" w:ascii="宋体" w:hAnsi="宋体" w:eastAsia="宋体" w:cs="宋体"/>
          <w:b/>
          <w:bCs/>
          <w:sz w:val="24"/>
        </w:rPr>
        <w:t>请求权是否消灭？</w:t>
      </w:r>
    </w:p>
    <w:p>
      <w:pPr>
        <w:keepNext w:val="0"/>
        <w:keepLines w:val="0"/>
        <w:pageBreakBefore w:val="0"/>
        <w:widowControl/>
        <w:kinsoku/>
        <w:wordWrap/>
        <w:overflowPunct/>
        <w:topLinePunct w:val="0"/>
        <w:autoSpaceDE/>
        <w:autoSpaceDN/>
        <w:bidi w:val="0"/>
        <w:snapToGrid/>
        <w:spacing w:line="288" w:lineRule="auto"/>
        <w:ind w:right="0" w:rightChars="0" w:firstLine="420" w:firstLineChars="200"/>
        <w:textAlignment w:val="auto"/>
        <w:rPr>
          <w:rFonts w:hint="eastAsia" w:ascii="黑体" w:hAnsi="黑体" w:eastAsia="黑体" w:cs="黑体"/>
          <w:sz w:val="24"/>
        </w:rPr>
      </w:pPr>
      <w:r>
        <w:rPr>
          <w:rFonts w:hint="eastAsia"/>
        </w:rPr>
        <w:t>经过审查可知，并不存在导致请求权消灭的情形。</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eastAsia="宋体" w:cs="宋体"/>
          <w:b/>
          <w:bCs/>
          <w:sz w:val="24"/>
        </w:rPr>
      </w:pPr>
      <w:r>
        <w:rPr>
          <w:rFonts w:hint="eastAsia" w:ascii="宋体" w:hAnsi="宋体" w:eastAsia="宋体" w:cs="宋体"/>
          <w:b/>
          <w:bCs/>
          <w:sz w:val="24"/>
          <w:lang w:eastAsia="zh-CN"/>
        </w:rPr>
        <w:t>（</w:t>
      </w:r>
      <w:r>
        <w:rPr>
          <w:rFonts w:hint="eastAsia" w:ascii="宋体" w:hAnsi="宋体" w:eastAsia="宋体" w:cs="宋体"/>
          <w:b/>
          <w:bCs/>
          <w:sz w:val="24"/>
          <w:lang w:val="en-US" w:eastAsia="zh-CN"/>
        </w:rPr>
        <w:t>三</w:t>
      </w:r>
      <w:r>
        <w:rPr>
          <w:rFonts w:hint="eastAsia" w:ascii="宋体" w:hAnsi="宋体" w:eastAsia="宋体" w:cs="宋体"/>
          <w:b/>
          <w:bCs/>
          <w:sz w:val="24"/>
          <w:lang w:eastAsia="zh-CN"/>
        </w:rPr>
        <w:t>）</w:t>
      </w:r>
      <w:r>
        <w:rPr>
          <w:rFonts w:hint="eastAsia" w:ascii="宋体" w:hAnsi="宋体" w:eastAsia="宋体" w:cs="宋体"/>
          <w:b/>
          <w:bCs/>
          <w:sz w:val="24"/>
        </w:rPr>
        <w:t>请求权是否可执行？</w:t>
      </w:r>
    </w:p>
    <w:p>
      <w:pPr>
        <w:keepNext w:val="0"/>
        <w:keepLines w:val="0"/>
        <w:pageBreakBefore w:val="0"/>
        <w:widowControl/>
        <w:kinsoku/>
        <w:wordWrap/>
        <w:overflowPunct/>
        <w:topLinePunct w:val="0"/>
        <w:autoSpaceDE/>
        <w:autoSpaceDN/>
        <w:bidi w:val="0"/>
        <w:adjustRightInd w:val="0"/>
        <w:snapToGrid/>
        <w:spacing w:line="288" w:lineRule="auto"/>
        <w:ind w:right="0" w:rightChars="0" w:firstLine="420" w:firstLineChars="200"/>
        <w:textAlignment w:val="auto"/>
        <w:rPr>
          <w:rFonts w:hint="eastAsia"/>
          <w:lang w:val="en-US" w:eastAsia="zh-CN"/>
        </w:rPr>
      </w:pPr>
      <w:r>
        <w:rPr>
          <w:rFonts w:hint="eastAsia"/>
        </w:rPr>
        <w:t>经过审查可知，请求权可以执行。</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eastAsia="宋体" w:cs="宋体"/>
          <w:b/>
          <w:bCs/>
          <w:sz w:val="24"/>
          <w:lang w:eastAsia="zh-CN"/>
        </w:rPr>
      </w:pPr>
      <w:r>
        <w:rPr>
          <w:rFonts w:hint="eastAsia" w:ascii="宋体" w:hAnsi="宋体" w:eastAsia="宋体" w:cs="宋体"/>
          <w:b/>
          <w:bCs/>
          <w:sz w:val="24"/>
          <w:lang w:eastAsia="zh-CN"/>
        </w:rPr>
        <w:t>（</w:t>
      </w:r>
      <w:r>
        <w:rPr>
          <w:rFonts w:hint="eastAsia" w:ascii="宋体" w:hAnsi="宋体" w:eastAsia="宋体" w:cs="宋体"/>
          <w:b/>
          <w:bCs/>
          <w:sz w:val="24"/>
          <w:lang w:val="en-US" w:eastAsia="zh-CN"/>
        </w:rPr>
        <w:t>四</w:t>
      </w:r>
      <w:r>
        <w:rPr>
          <w:rFonts w:hint="eastAsia" w:ascii="宋体" w:hAnsi="宋体" w:eastAsia="宋体" w:cs="宋体"/>
          <w:b/>
          <w:bCs/>
          <w:sz w:val="24"/>
          <w:lang w:eastAsia="zh-CN"/>
        </w:rPr>
        <w:t>）</w:t>
      </w:r>
      <w:r>
        <w:rPr>
          <w:rFonts w:hint="eastAsia" w:ascii="宋体" w:hAnsi="宋体" w:eastAsia="宋体" w:cs="宋体"/>
          <w:b/>
          <w:bCs/>
          <w:sz w:val="24"/>
          <w:lang w:val="en-US" w:eastAsia="zh-CN"/>
        </w:rPr>
        <w:t>结论</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szCs w:val="21"/>
        </w:rPr>
      </w:pPr>
      <w:r>
        <w:rPr>
          <w:rFonts w:hint="eastAsia" w:ascii="宋体" w:hAnsi="宋体" w:cs="宋体"/>
          <w:szCs w:val="21"/>
          <w:lang w:val="en-US" w:eastAsia="zh-CN"/>
        </w:rPr>
        <w:t>黄女士</w:t>
      </w:r>
      <w:r>
        <w:rPr>
          <w:rFonts w:hint="eastAsia" w:ascii="宋体" w:hAnsi="宋体" w:cs="宋体"/>
          <w:szCs w:val="21"/>
        </w:rPr>
        <w:t>可以依据《</w:t>
      </w:r>
      <w:r>
        <w:rPr>
          <w:rFonts w:hint="eastAsia" w:ascii="宋体" w:hAnsi="宋体" w:cs="宋体"/>
          <w:szCs w:val="21"/>
          <w:lang w:val="en-US" w:eastAsia="zh-CN"/>
        </w:rPr>
        <w:t>合同法</w:t>
      </w:r>
      <w:r>
        <w:rPr>
          <w:rFonts w:hint="eastAsia" w:ascii="宋体" w:hAnsi="宋体" w:cs="宋体"/>
          <w:szCs w:val="21"/>
        </w:rPr>
        <w:t>》第</w:t>
      </w:r>
      <w:r>
        <w:rPr>
          <w:rFonts w:hint="eastAsia" w:ascii="宋体" w:hAnsi="宋体" w:cs="宋体"/>
          <w:szCs w:val="21"/>
          <w:lang w:val="en-US" w:eastAsia="zh-CN"/>
        </w:rPr>
        <w:t>42</w:t>
      </w:r>
      <w:r>
        <w:rPr>
          <w:rFonts w:hint="eastAsia" w:ascii="宋体" w:hAnsi="宋体" w:cs="宋体"/>
          <w:szCs w:val="21"/>
        </w:rPr>
        <w:t>条向</w:t>
      </w:r>
      <w:r>
        <w:rPr>
          <w:rFonts w:hint="eastAsia" w:ascii="宋体" w:hAnsi="宋体" w:cs="宋体"/>
          <w:szCs w:val="21"/>
          <w:lang w:val="en-US" w:eastAsia="zh-CN"/>
        </w:rPr>
        <w:t>银行</w:t>
      </w:r>
      <w:r>
        <w:rPr>
          <w:rFonts w:hint="eastAsia" w:ascii="宋体" w:hAnsi="宋体" w:cs="宋体"/>
          <w:szCs w:val="21"/>
        </w:rPr>
        <w:t>主张</w:t>
      </w:r>
      <w:r>
        <w:rPr>
          <w:rFonts w:hint="eastAsia" w:ascii="宋体" w:hAnsi="宋体" w:cs="宋体"/>
          <w:szCs w:val="21"/>
          <w:lang w:val="en-US" w:eastAsia="zh-CN"/>
        </w:rPr>
        <w:t>缔约过失责任</w:t>
      </w:r>
      <w:r>
        <w:rPr>
          <w:rFonts w:hint="eastAsia" w:ascii="宋体" w:hAnsi="宋体" w:cs="宋体"/>
          <w:szCs w:val="21"/>
        </w:rPr>
        <w:t>。</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pP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lang w:val="en-US" w:eastAsia="zh-CN"/>
        </w:rPr>
        <w:t>三、黄女士或许可以依据《物权法》第34条向银行主张返还5万元。</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eastAsia="宋体" w:cs="宋体"/>
          <w:b/>
          <w:bCs/>
          <w:sz w:val="24"/>
        </w:rPr>
      </w:pPr>
      <w:r>
        <w:rPr>
          <w:rFonts w:hint="eastAsia" w:ascii="宋体" w:hAnsi="宋体" w:eastAsia="宋体" w:cs="宋体"/>
          <w:b/>
          <w:bCs/>
          <w:sz w:val="24"/>
        </w:rPr>
        <w:t>（一）请求权是否产生？</w:t>
      </w:r>
    </w:p>
    <w:p>
      <w:pPr>
        <w:keepNext w:val="0"/>
        <w:keepLines w:val="0"/>
        <w:pageBreakBefore w:val="0"/>
        <w:widowControl/>
        <w:kinsoku/>
        <w:wordWrap/>
        <w:overflowPunct/>
        <w:topLinePunct w:val="0"/>
        <w:autoSpaceDE/>
        <w:autoSpaceDN/>
        <w:bidi w:val="0"/>
        <w:adjustRightInd/>
        <w:snapToGrid/>
        <w:spacing w:line="288" w:lineRule="auto"/>
        <w:ind w:right="0" w:righ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1、返还原物请求权是否存在？</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返还原物请求权构成要件：（1）请求人是物权人；（2）被请求权人为现时的无权占有人。</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right="0" w:righ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（1）请求人是否是物权人？</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从法律上来看，货币是一种特殊的动产，其特殊性表现在：货币是一种特殊的种类物，在交易上可以互相替换。货币的占有与所有是同一的，简称为“占有即所有”。</w:t>
      </w:r>
      <w:r>
        <w:rPr>
          <w:rFonts w:hint="eastAsia" w:ascii="宋体" w:hAnsi="宋体" w:eastAsia="宋体" w:cs="宋体"/>
          <w:sz w:val="21"/>
          <w:szCs w:val="21"/>
          <w:lang w:val="en-US" w:eastAsia="zh-CN"/>
        </w:rPr>
        <w:t>本案中，黄女士将交付给银行，银行占有该货币，货币所有权发生转移，则意味着黄女士丧失了对该5万元的所有权。故黄女士不属于该5万元的物权人。</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right="0" w:righ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（2）被请求权人是否为现时的无权占有人？</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Chars="200" w:right="0" w:righ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根据前述货币的特殊性可知，银行占有5万元即享有所有权，不是现时的无权占有人。</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综上所述，本案不符合返还原物请求权的两个构成要件，故黄女士不能向银行主张返还原物请求权。</w:t>
      </w:r>
    </w:p>
    <w:p>
      <w:pPr>
        <w:keepNext w:val="0"/>
        <w:keepLines w:val="0"/>
        <w:pageBreakBefore w:val="0"/>
        <w:widowControl/>
        <w:numPr>
          <w:ilvl w:val="0"/>
          <w:numId w:val="24"/>
        </w:numPr>
        <w:kinsoku/>
        <w:wordWrap/>
        <w:overflowPunct/>
        <w:topLinePunct w:val="0"/>
        <w:autoSpaceDE/>
        <w:autoSpaceDN/>
        <w:bidi w:val="0"/>
        <w:adjustRightInd/>
        <w:snapToGrid/>
        <w:spacing w:line="288" w:lineRule="auto"/>
        <w:ind w:right="0" w:right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中间结论</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黄女士不可以依据《物权法》第34条向银行主张返还5万元。</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p>
    <w:p>
      <w:pPr>
        <w:keepNext w:val="0"/>
        <w:keepLines w:val="0"/>
        <w:pageBreakBefore w:val="0"/>
        <w:widowControl/>
        <w:numPr>
          <w:ilvl w:val="0"/>
          <w:numId w:val="25"/>
        </w:numPr>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eastAsia="宋体" w:cs="宋体"/>
          <w:b/>
          <w:bCs/>
          <w:sz w:val="24"/>
        </w:rPr>
      </w:pPr>
      <w:r>
        <w:rPr>
          <w:rFonts w:hint="eastAsia" w:ascii="宋体" w:hAnsi="宋体" w:eastAsia="宋体" w:cs="宋体"/>
          <w:b/>
          <w:bCs/>
          <w:sz w:val="24"/>
        </w:rPr>
        <w:t>请求权是否消灭？</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黑体" w:hAnsi="黑体" w:eastAsia="黑体" w:cs="黑体"/>
          <w:sz w:val="24"/>
        </w:rPr>
      </w:pPr>
      <w:r>
        <w:rPr>
          <w:rFonts w:hint="eastAsia" w:ascii="宋体" w:hAnsi="宋体" w:eastAsia="宋体" w:cs="宋体"/>
          <w:sz w:val="21"/>
          <w:szCs w:val="21"/>
          <w:lang w:val="en-US" w:eastAsia="zh-CN"/>
        </w:rPr>
        <w:t>请求权未产生</w:t>
      </w:r>
      <w:r>
        <w:rPr>
          <w:rFonts w:hint="eastAsia" w:hAnsi="宋体" w:cs="宋体"/>
          <w:sz w:val="21"/>
          <w:szCs w:val="21"/>
          <w:lang w:val="en-US" w:eastAsia="zh-CN"/>
        </w:rPr>
        <w:t>，没有讨论该问题的必要。</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eastAsia="宋体" w:cs="宋体"/>
          <w:b/>
          <w:bCs/>
          <w:sz w:val="24"/>
        </w:rPr>
      </w:pPr>
      <w:r>
        <w:rPr>
          <w:rFonts w:hint="eastAsia" w:ascii="宋体" w:hAnsi="宋体" w:eastAsia="宋体" w:cs="宋体"/>
          <w:b/>
          <w:bCs/>
          <w:sz w:val="24"/>
        </w:rPr>
        <w:t>（三）请求权是否可执行？</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黑体" w:hAnsi="黑体" w:eastAsia="黑体" w:cs="黑体"/>
          <w:sz w:val="24"/>
        </w:rPr>
      </w:pPr>
      <w:r>
        <w:rPr>
          <w:rFonts w:hint="eastAsia" w:ascii="宋体" w:hAnsi="宋体" w:eastAsia="宋体" w:cs="宋体"/>
          <w:sz w:val="21"/>
          <w:szCs w:val="21"/>
          <w:lang w:val="en-US" w:eastAsia="zh-CN"/>
        </w:rPr>
        <w:t>请求权未产生</w:t>
      </w:r>
      <w:r>
        <w:rPr>
          <w:rFonts w:hint="eastAsia" w:hAnsi="宋体" w:cs="宋体"/>
          <w:sz w:val="21"/>
          <w:szCs w:val="21"/>
          <w:lang w:val="en-US" w:eastAsia="zh-CN"/>
        </w:rPr>
        <w:t>，没有讨论该问题的必要。</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eastAsia="宋体" w:cs="宋体"/>
          <w:b/>
          <w:bCs/>
          <w:sz w:val="24"/>
          <w:lang w:eastAsia="zh-CN"/>
        </w:rPr>
      </w:pPr>
      <w:r>
        <w:rPr>
          <w:rFonts w:hint="eastAsia" w:ascii="宋体" w:hAnsi="宋体" w:eastAsia="宋体" w:cs="宋体"/>
          <w:b/>
          <w:bCs/>
          <w:sz w:val="24"/>
          <w:lang w:eastAsia="zh-CN"/>
        </w:rPr>
        <w:t>（</w:t>
      </w:r>
      <w:r>
        <w:rPr>
          <w:rFonts w:hint="eastAsia" w:ascii="宋体" w:hAnsi="宋体" w:eastAsia="宋体" w:cs="宋体"/>
          <w:b/>
          <w:bCs/>
          <w:sz w:val="24"/>
          <w:lang w:val="en-US" w:eastAsia="zh-CN"/>
        </w:rPr>
        <w:t>四</w:t>
      </w:r>
      <w:r>
        <w:rPr>
          <w:rFonts w:hint="eastAsia" w:ascii="宋体" w:hAnsi="宋体" w:eastAsia="宋体" w:cs="宋体"/>
          <w:b/>
          <w:bCs/>
          <w:sz w:val="24"/>
          <w:lang w:eastAsia="zh-CN"/>
        </w:rPr>
        <w:t>）</w:t>
      </w:r>
      <w:r>
        <w:rPr>
          <w:rFonts w:hint="eastAsia" w:ascii="宋体" w:hAnsi="宋体" w:eastAsia="宋体" w:cs="宋体"/>
          <w:b/>
          <w:bCs/>
          <w:sz w:val="24"/>
          <w:lang w:val="en-US" w:eastAsia="zh-CN"/>
        </w:rPr>
        <w:t>结论</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黄女士不可以依据《物权法》第34条向银行主张返还5万元。</w:t>
      </w:r>
    </w:p>
    <w:p>
      <w:pPr>
        <w:keepNext w:val="0"/>
        <w:keepLines w:val="0"/>
        <w:pageBreakBefore w:val="0"/>
        <w:widowControl/>
        <w:kinsoku/>
        <w:wordWrap/>
        <w:overflowPunct/>
        <w:topLinePunct w:val="0"/>
        <w:autoSpaceDE/>
        <w:autoSpaceDN/>
        <w:bidi w:val="0"/>
        <w:adjustRightInd/>
        <w:snapToGrid/>
        <w:spacing w:line="240" w:lineRule="auto"/>
        <w:ind w:right="0" w:rightChars="0"/>
        <w:jc w:val="left"/>
        <w:textAlignment w:val="auto"/>
        <w:outlineLvl w:val="9"/>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四、黄女士或许可以依据《侵权责任法》第6条向银行主张侵权赔偿。</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eastAsia="宋体" w:cs="宋体"/>
          <w:b/>
          <w:bCs/>
          <w:sz w:val="24"/>
        </w:rPr>
      </w:pPr>
      <w:r>
        <w:rPr>
          <w:rFonts w:hint="eastAsia" w:ascii="宋体" w:hAnsi="宋体" w:eastAsia="宋体" w:cs="宋体"/>
          <w:b/>
          <w:bCs/>
          <w:sz w:val="24"/>
        </w:rPr>
        <w:t>（一）请求权是否产生？</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color w:val="000000"/>
          <w:szCs w:val="21"/>
          <w:shd w:val="clear" w:color="auto" w:fill="FFFFFF"/>
        </w:rPr>
      </w:pPr>
      <w:r>
        <w:rPr>
          <w:rFonts w:hint="eastAsia" w:ascii="宋体" w:hAnsi="宋体" w:cs="宋体"/>
          <w:szCs w:val="21"/>
        </w:rPr>
        <w:t>《侵权责任法》第6条规定：</w:t>
      </w:r>
      <w:r>
        <w:rPr>
          <w:rFonts w:hint="eastAsia" w:ascii="宋体" w:hAnsi="宋体" w:cs="宋体"/>
          <w:color w:val="000000"/>
          <w:szCs w:val="21"/>
          <w:shd w:val="clear" w:color="auto" w:fill="FFFFFF"/>
        </w:rPr>
        <w:t>行为人因过错侵害他人民事权益，应当承担侵权责任。</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hAnsi="宋体" w:cs="宋体"/>
          <w:sz w:val="21"/>
          <w:szCs w:val="21"/>
          <w:lang w:val="en-US" w:eastAsia="zh-CN"/>
        </w:rPr>
      </w:pPr>
      <w:r>
        <w:rPr>
          <w:rFonts w:hint="eastAsia" w:hAnsi="宋体" w:cs="宋体"/>
          <w:sz w:val="21"/>
          <w:szCs w:val="21"/>
          <w:lang w:val="en-US" w:eastAsia="zh-CN"/>
        </w:rPr>
        <w:t>侵权责任的构成要件：（1）加害人实施了违法加害行为；（2）受害人遭受了可救济的损害；（3）加害行为与损害之间有因果关系；（4）加害人对损害的发生具有过错。</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hAnsi="宋体" w:cs="宋体"/>
          <w:sz w:val="21"/>
          <w:szCs w:val="21"/>
          <w:lang w:val="en-US" w:eastAsia="zh-CN"/>
        </w:rPr>
      </w:pPr>
      <w:r>
        <w:rPr>
          <w:rFonts w:hint="eastAsia" w:hAnsi="宋体" w:cs="宋体"/>
          <w:sz w:val="21"/>
          <w:szCs w:val="21"/>
          <w:lang w:val="en-US" w:eastAsia="zh-CN"/>
        </w:rPr>
        <w:t>1、是否构成侵权？</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hAnsi="宋体" w:cs="宋体"/>
          <w:sz w:val="21"/>
          <w:szCs w:val="21"/>
          <w:lang w:val="en-US" w:eastAsia="zh-CN"/>
        </w:rPr>
      </w:pPr>
      <w:bookmarkStart w:id="114" w:name="OLE_LINK1"/>
      <w:r>
        <w:rPr>
          <w:rFonts w:hint="eastAsia" w:hAnsi="宋体" w:cs="宋体"/>
          <w:sz w:val="21"/>
          <w:szCs w:val="21"/>
          <w:lang w:val="en-US" w:eastAsia="zh-CN"/>
        </w:rPr>
        <w:t>（1）加害人实施了加害行为。加害行为又称致害行为，是指行为人做出的致他人的民事权利受到损害的行为。任何一个民事损害事实都与特定的加害行为相联系，亦即民事损害事实都由特定的加害行为所造成。没有加害行为，损害就无从发生。本案中，黄女士遭受了损失，则银行方存有加害行为。</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hAnsi="宋体" w:cs="宋体"/>
          <w:sz w:val="21"/>
          <w:szCs w:val="21"/>
          <w:lang w:val="en-US" w:eastAsia="zh-CN"/>
        </w:rPr>
      </w:pPr>
      <w:r>
        <w:rPr>
          <w:rFonts w:hint="eastAsia" w:hAnsi="宋体" w:cs="宋体"/>
          <w:sz w:val="21"/>
          <w:szCs w:val="21"/>
          <w:lang w:val="en-US" w:eastAsia="zh-CN"/>
        </w:rPr>
        <w:t>（2）受害人遭受了可救济的损害。此处所称的损害事实，是指因一定的行为或事件对他人的财产或人身造成的不利影响。在本案中，黄女士遭受了5万元的经济损失。</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hAnsi="宋体" w:cs="宋体"/>
          <w:sz w:val="21"/>
          <w:szCs w:val="21"/>
          <w:lang w:val="en-US" w:eastAsia="zh-CN"/>
        </w:rPr>
      </w:pPr>
      <w:r>
        <w:rPr>
          <w:rFonts w:hint="eastAsia" w:hAnsi="宋体" w:cs="宋体"/>
          <w:sz w:val="21"/>
          <w:szCs w:val="21"/>
          <w:lang w:val="en-US" w:eastAsia="zh-CN"/>
        </w:rPr>
        <w:t>（3）加害行为与损害之间有因果关系。在本案中，银行方未尽提醒、注意之义务即有过错。</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hAnsi="宋体" w:cs="宋体"/>
          <w:sz w:val="21"/>
          <w:szCs w:val="21"/>
          <w:lang w:val="en-US" w:eastAsia="zh-CN"/>
        </w:rPr>
      </w:pPr>
      <w:r>
        <w:rPr>
          <w:rFonts w:hint="eastAsia" w:hAnsi="宋体" w:cs="宋体"/>
          <w:sz w:val="21"/>
          <w:szCs w:val="21"/>
          <w:lang w:val="en-US" w:eastAsia="zh-CN"/>
        </w:rPr>
        <w:t>（4）加害人对损害的发生具有过错。</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hAnsi="宋体" w:cs="宋体"/>
          <w:sz w:val="21"/>
          <w:szCs w:val="21"/>
          <w:lang w:val="en-US" w:eastAsia="zh-CN"/>
        </w:rPr>
      </w:pPr>
      <w:r>
        <w:rPr>
          <w:rFonts w:hint="eastAsia" w:hAnsi="宋体" w:cs="宋体"/>
          <w:sz w:val="21"/>
          <w:szCs w:val="21"/>
          <w:lang w:val="en-US" w:eastAsia="zh-CN"/>
        </w:rPr>
        <w:t>综上，完全符合侵权责任的构成要件，故银行构成侵权。</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hAnsi="宋体" w:cs="宋体"/>
          <w:sz w:val="21"/>
          <w:szCs w:val="21"/>
          <w:lang w:val="en-US" w:eastAsia="zh-CN"/>
        </w:rPr>
      </w:pPr>
      <w:r>
        <w:rPr>
          <w:rFonts w:hint="eastAsia" w:hAnsi="宋体" w:cs="宋体"/>
          <w:sz w:val="21"/>
          <w:szCs w:val="21"/>
          <w:lang w:val="en-US" w:eastAsia="zh-CN"/>
        </w:rPr>
        <w:t>2、中间结论</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hAnsi="宋体" w:cs="宋体"/>
          <w:sz w:val="21"/>
          <w:szCs w:val="21"/>
          <w:lang w:val="en-US" w:eastAsia="zh-CN"/>
        </w:rPr>
      </w:pPr>
      <w:r>
        <w:rPr>
          <w:rFonts w:hint="eastAsia" w:ascii="宋体" w:hAnsi="宋体" w:eastAsia="宋体" w:cs="宋体"/>
          <w:sz w:val="21"/>
          <w:szCs w:val="21"/>
          <w:lang w:val="en-US" w:eastAsia="zh-CN"/>
        </w:rPr>
        <w:t>黄女士可以依据《侵权责任法》第34条向银行主张侵权责任。</w:t>
      </w:r>
      <w:r>
        <w:rPr>
          <w:rFonts w:hint="eastAsia" w:hAnsi="宋体" w:cs="宋体"/>
          <w:sz w:val="21"/>
          <w:szCs w:val="21"/>
          <w:lang w:val="en-US" w:eastAsia="zh-CN"/>
        </w:rPr>
        <w:t>根据《侵权责任法》第15条规定侵权责任的承担方式中包括损害赔偿，则黄女士可以要求银行承担侵权损害赔偿责任。</w:t>
      </w:r>
    </w:p>
    <w:bookmarkEnd w:id="114"/>
    <w:p>
      <w:pPr>
        <w:keepNext w:val="0"/>
        <w:keepLines w:val="0"/>
        <w:pageBreakBefore w:val="0"/>
        <w:widowControl/>
        <w:numPr>
          <w:ilvl w:val="0"/>
          <w:numId w:val="26"/>
        </w:numPr>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请求权是否消灭？</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黑体" w:hAnsi="黑体" w:eastAsia="黑体" w:cs="黑体"/>
          <w:b/>
          <w:bCs/>
          <w:sz w:val="24"/>
        </w:rPr>
      </w:pPr>
      <w:bookmarkStart w:id="115" w:name="OLE_LINK2"/>
      <w:r>
        <w:rPr>
          <w:rFonts w:hint="eastAsia" w:hAnsi="宋体" w:cs="宋体"/>
          <w:sz w:val="21"/>
          <w:szCs w:val="21"/>
          <w:lang w:val="en-US" w:eastAsia="zh-CN"/>
        </w:rPr>
        <w:t>经审查可知，请求权未消灭。</w:t>
      </w:r>
    </w:p>
    <w:bookmarkEnd w:id="115"/>
    <w:p>
      <w:pPr>
        <w:keepNext w:val="0"/>
        <w:keepLines w:val="0"/>
        <w:pageBreakBefore w:val="0"/>
        <w:widowControl/>
        <w:numPr>
          <w:ilvl w:val="0"/>
          <w:numId w:val="26"/>
        </w:numPr>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eastAsia="宋体" w:cs="宋体"/>
          <w:b/>
          <w:bCs/>
          <w:sz w:val="24"/>
        </w:rPr>
      </w:pPr>
      <w:r>
        <w:rPr>
          <w:rFonts w:hint="eastAsia" w:ascii="宋体" w:hAnsi="宋体" w:eastAsia="宋体" w:cs="宋体"/>
          <w:b/>
          <w:bCs/>
          <w:sz w:val="24"/>
        </w:rPr>
        <w:t>请求权是否可执行？</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黑体" w:hAnsi="黑体" w:eastAsia="黑体" w:cs="黑体"/>
          <w:sz w:val="24"/>
          <w:lang w:eastAsia="zh-CN"/>
        </w:rPr>
      </w:pPr>
      <w:r>
        <w:rPr>
          <w:rFonts w:hint="eastAsia" w:hAnsi="宋体" w:cs="宋体"/>
          <w:sz w:val="21"/>
          <w:szCs w:val="21"/>
          <w:lang w:val="en-US" w:eastAsia="zh-CN"/>
        </w:rPr>
        <w:t>经审查可知，请求权可执行。</w:t>
      </w: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宋体" w:hAnsi="宋体" w:eastAsia="宋体" w:cs="宋体"/>
          <w:b/>
          <w:bCs/>
          <w:sz w:val="24"/>
          <w:lang w:val="en-US" w:eastAsia="zh-CN"/>
        </w:rPr>
      </w:pPr>
      <w:r>
        <w:rPr>
          <w:rFonts w:hint="eastAsia" w:ascii="宋体" w:hAnsi="宋体" w:eastAsia="宋体" w:cs="宋体"/>
          <w:b/>
          <w:bCs/>
          <w:sz w:val="24"/>
          <w:lang w:eastAsia="zh-CN"/>
        </w:rPr>
        <w:t>（</w:t>
      </w:r>
      <w:r>
        <w:rPr>
          <w:rFonts w:hint="eastAsia" w:ascii="宋体" w:hAnsi="宋体" w:eastAsia="宋体" w:cs="宋体"/>
          <w:b/>
          <w:bCs/>
          <w:sz w:val="24"/>
          <w:lang w:val="en-US" w:eastAsia="zh-CN"/>
        </w:rPr>
        <w:t>四</w:t>
      </w:r>
      <w:r>
        <w:rPr>
          <w:rFonts w:hint="eastAsia" w:ascii="宋体" w:hAnsi="宋体" w:eastAsia="宋体" w:cs="宋体"/>
          <w:b/>
          <w:bCs/>
          <w:sz w:val="24"/>
          <w:lang w:eastAsia="zh-CN"/>
        </w:rPr>
        <w:t>）</w:t>
      </w:r>
      <w:r>
        <w:rPr>
          <w:rFonts w:hint="eastAsia" w:ascii="宋体" w:hAnsi="宋体" w:eastAsia="宋体" w:cs="宋体"/>
          <w:b/>
          <w:bCs/>
          <w:sz w:val="24"/>
          <w:lang w:val="en-US" w:eastAsia="zh-CN"/>
        </w:rPr>
        <w:t>结论</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sz w:val="21"/>
          <w:szCs w:val="21"/>
          <w:lang w:val="en-US" w:eastAsia="zh-CN"/>
        </w:rPr>
      </w:pPr>
      <w:bookmarkStart w:id="116" w:name="OLE_LINK3"/>
      <w:r>
        <w:rPr>
          <w:rFonts w:hint="eastAsia" w:ascii="宋体" w:hAnsi="宋体" w:eastAsia="宋体" w:cs="宋体"/>
          <w:sz w:val="21"/>
          <w:szCs w:val="21"/>
          <w:lang w:val="en-US" w:eastAsia="zh-CN"/>
        </w:rPr>
        <w:t>黄女士可以依据《侵权责任法》第</w:t>
      </w:r>
      <w:r>
        <w:rPr>
          <w:rFonts w:hint="eastAsia" w:hAnsi="宋体" w:cs="宋体"/>
          <w:sz w:val="21"/>
          <w:szCs w:val="21"/>
          <w:lang w:val="en-US" w:eastAsia="zh-CN"/>
        </w:rPr>
        <w:t>6</w:t>
      </w:r>
      <w:r>
        <w:rPr>
          <w:rFonts w:hint="eastAsia" w:ascii="宋体" w:hAnsi="宋体" w:eastAsia="宋体" w:cs="宋体"/>
          <w:sz w:val="21"/>
          <w:szCs w:val="21"/>
          <w:lang w:val="en-US" w:eastAsia="zh-CN"/>
        </w:rPr>
        <w:t>条向银行主张侵权赔偿。</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right="0" w:rightChars="0"/>
        <w:jc w:val="left"/>
        <w:textAlignment w:val="auto"/>
        <w:outlineLvl w:val="9"/>
        <w:rPr>
          <w:rFonts w:hint="eastAsia" w:ascii="宋体" w:hAnsi="宋体" w:eastAsia="宋体" w:cs="宋体"/>
          <w:sz w:val="21"/>
          <w:szCs w:val="21"/>
          <w:lang w:val="en-US" w:eastAsia="zh-CN"/>
        </w:rPr>
      </w:pPr>
    </w:p>
    <w:bookmarkEnd w:id="116"/>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left"/>
        <w:textAlignment w:val="auto"/>
        <w:outlineLvl w:val="9"/>
      </w:pPr>
    </w:p>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贰、总结论</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szCs w:val="21"/>
        </w:rPr>
      </w:pPr>
      <w:r>
        <w:rPr>
          <w:rFonts w:hint="eastAsia" w:ascii="宋体" w:hAnsi="宋体" w:cs="宋体"/>
          <w:szCs w:val="21"/>
          <w:lang w:val="en-US" w:eastAsia="zh-CN"/>
        </w:rPr>
        <w:t>黄女士不</w:t>
      </w:r>
      <w:r>
        <w:rPr>
          <w:rFonts w:hint="eastAsia" w:ascii="宋体" w:hAnsi="宋体" w:cs="宋体"/>
          <w:szCs w:val="21"/>
        </w:rPr>
        <w:t>可以依据《</w:t>
      </w:r>
      <w:r>
        <w:rPr>
          <w:rFonts w:hint="eastAsia" w:ascii="宋体" w:hAnsi="宋体" w:cs="宋体"/>
          <w:szCs w:val="21"/>
          <w:lang w:val="en-US" w:eastAsia="zh-CN"/>
        </w:rPr>
        <w:t>民法通则</w:t>
      </w:r>
      <w:r>
        <w:rPr>
          <w:rFonts w:hint="eastAsia" w:ascii="宋体" w:hAnsi="宋体" w:cs="宋体"/>
          <w:szCs w:val="21"/>
        </w:rPr>
        <w:t>》第</w:t>
      </w:r>
      <w:r>
        <w:rPr>
          <w:rFonts w:hint="eastAsia" w:ascii="宋体" w:hAnsi="宋体" w:cs="宋体"/>
          <w:szCs w:val="21"/>
          <w:lang w:val="en-US" w:eastAsia="zh-CN"/>
        </w:rPr>
        <w:t>92</w:t>
      </w:r>
      <w:r>
        <w:rPr>
          <w:rFonts w:hint="eastAsia" w:ascii="宋体" w:hAnsi="宋体" w:cs="宋体"/>
          <w:szCs w:val="21"/>
        </w:rPr>
        <w:t>条向</w:t>
      </w:r>
      <w:r>
        <w:rPr>
          <w:rFonts w:hint="eastAsia" w:ascii="宋体" w:hAnsi="宋体" w:cs="宋体"/>
          <w:szCs w:val="21"/>
          <w:lang w:val="en-US" w:eastAsia="zh-CN"/>
        </w:rPr>
        <w:t>银行</w:t>
      </w:r>
      <w:r>
        <w:rPr>
          <w:rFonts w:hint="eastAsia" w:ascii="宋体" w:hAnsi="宋体" w:cs="宋体"/>
          <w:szCs w:val="21"/>
        </w:rPr>
        <w:t>主张</w:t>
      </w:r>
      <w:r>
        <w:rPr>
          <w:rFonts w:hint="eastAsia" w:ascii="宋体" w:hAnsi="宋体" w:cs="宋体"/>
          <w:szCs w:val="21"/>
          <w:lang w:val="en-US" w:eastAsia="zh-CN"/>
        </w:rPr>
        <w:t>不当得利，以及</w:t>
      </w:r>
      <w:r>
        <w:rPr>
          <w:rFonts w:hint="eastAsia" w:ascii="宋体" w:hAnsi="宋体" w:eastAsia="宋体" w:cs="宋体"/>
          <w:sz w:val="21"/>
          <w:szCs w:val="21"/>
          <w:lang w:val="en-US" w:eastAsia="zh-CN"/>
        </w:rPr>
        <w:t>《物权法》第34条向银行主张返还5万元</w:t>
      </w:r>
      <w:r>
        <w:rPr>
          <w:rFonts w:hint="eastAsia" w:ascii="宋体" w:hAnsi="宋体" w:cs="宋体"/>
          <w:szCs w:val="21"/>
        </w:rPr>
        <w:t>。</w:t>
      </w:r>
    </w:p>
    <w:p>
      <w:pPr>
        <w:keepNext w:val="0"/>
        <w:keepLines w:val="0"/>
        <w:pageBreakBefore w:val="0"/>
        <w:widowControl/>
        <w:numPr>
          <w:ilvl w:val="0"/>
          <w:numId w:val="0"/>
        </w:numPr>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cs="宋体"/>
          <w:szCs w:val="21"/>
          <w:lang w:val="en-US" w:eastAsia="zh-CN"/>
        </w:rPr>
      </w:pPr>
      <w:r>
        <w:rPr>
          <w:rFonts w:hint="eastAsia" w:ascii="宋体" w:hAnsi="宋体" w:eastAsia="宋体" w:cs="宋体"/>
          <w:sz w:val="21"/>
          <w:szCs w:val="21"/>
          <w:lang w:val="en-US" w:eastAsia="zh-CN"/>
        </w:rPr>
        <w:t>黄女士可以依据《合同法》</w:t>
      </w:r>
      <w:r>
        <w:rPr>
          <w:rFonts w:hint="eastAsia" w:ascii="宋体" w:hAnsi="宋体" w:cs="宋体"/>
          <w:szCs w:val="21"/>
        </w:rPr>
        <w:t>第</w:t>
      </w:r>
      <w:r>
        <w:rPr>
          <w:rFonts w:hint="eastAsia" w:ascii="宋体" w:hAnsi="宋体" w:cs="宋体"/>
          <w:szCs w:val="21"/>
          <w:lang w:val="en-US" w:eastAsia="zh-CN"/>
        </w:rPr>
        <w:t>42</w:t>
      </w:r>
      <w:r>
        <w:rPr>
          <w:rFonts w:hint="eastAsia" w:ascii="宋体" w:hAnsi="宋体" w:cs="宋体"/>
          <w:szCs w:val="21"/>
        </w:rPr>
        <w:t>条向</w:t>
      </w:r>
      <w:r>
        <w:rPr>
          <w:rFonts w:hint="eastAsia" w:ascii="宋体" w:hAnsi="宋体" w:cs="宋体"/>
          <w:szCs w:val="21"/>
          <w:lang w:val="en-US" w:eastAsia="zh-CN"/>
        </w:rPr>
        <w:t>银行</w:t>
      </w:r>
      <w:r>
        <w:rPr>
          <w:rFonts w:hint="eastAsia" w:ascii="宋体" w:hAnsi="宋体" w:cs="宋体"/>
          <w:szCs w:val="21"/>
        </w:rPr>
        <w:t>主张</w:t>
      </w:r>
      <w:r>
        <w:rPr>
          <w:rFonts w:hint="eastAsia" w:ascii="宋体" w:hAnsi="宋体" w:cs="宋体"/>
          <w:szCs w:val="21"/>
          <w:lang w:val="en-US" w:eastAsia="zh-CN"/>
        </w:rPr>
        <w:t>缔约过失责任，或者《合同法》</w:t>
      </w:r>
      <w:r>
        <w:rPr>
          <w:rFonts w:hint="eastAsia" w:ascii="宋体" w:hAnsi="宋体" w:eastAsia="宋体" w:cs="宋体"/>
          <w:sz w:val="21"/>
          <w:szCs w:val="21"/>
          <w:lang w:val="en-US" w:eastAsia="zh-CN"/>
        </w:rPr>
        <w:t>第206条向银行主张返还5万元</w:t>
      </w:r>
      <w:r>
        <w:rPr>
          <w:rFonts w:hint="eastAsia" w:hAnsi="宋体" w:cs="宋体"/>
          <w:sz w:val="21"/>
          <w:szCs w:val="21"/>
          <w:lang w:val="en-US" w:eastAsia="zh-CN"/>
        </w:rPr>
        <w:t>，或者</w:t>
      </w:r>
      <w:r>
        <w:rPr>
          <w:rFonts w:hint="eastAsia" w:ascii="宋体" w:hAnsi="宋体" w:eastAsia="宋体" w:cs="宋体"/>
          <w:sz w:val="21"/>
          <w:szCs w:val="21"/>
          <w:lang w:val="en-US" w:eastAsia="zh-CN"/>
        </w:rPr>
        <w:t>《侵权责任法》第</w:t>
      </w:r>
      <w:r>
        <w:rPr>
          <w:rFonts w:hint="eastAsia" w:hAnsi="宋体" w:cs="宋体"/>
          <w:sz w:val="21"/>
          <w:szCs w:val="21"/>
          <w:lang w:val="en-US" w:eastAsia="zh-CN"/>
        </w:rPr>
        <w:t>6</w:t>
      </w:r>
      <w:r>
        <w:rPr>
          <w:rFonts w:hint="eastAsia" w:ascii="宋体" w:hAnsi="宋体" w:eastAsia="宋体" w:cs="宋体"/>
          <w:sz w:val="21"/>
          <w:szCs w:val="21"/>
          <w:lang w:val="en-US" w:eastAsia="zh-CN"/>
        </w:rPr>
        <w:t>条向银行主张侵权赔偿。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ascii="宋体" w:hAnsi="宋体" w:eastAsia="宋体" w:cs="宋体"/>
          <w:szCs w:val="21"/>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 xml:space="preserve">                                                              （责任编辑：李明哲）</w:t>
      </w: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p>
      <w:pPr>
        <w:keepNext w:val="0"/>
        <w:keepLines w:val="0"/>
        <w:pageBreakBefore w:val="0"/>
        <w:kinsoku/>
        <w:wordWrap/>
        <w:overflowPunct/>
        <w:topLinePunct w:val="0"/>
        <w:autoSpaceDE/>
        <w:autoSpaceDN/>
        <w:bidi w:val="0"/>
        <w:spacing w:line="240" w:lineRule="auto"/>
        <w:jc w:val="left"/>
        <w:textAlignment w:val="auto"/>
        <w:rPr>
          <w:rFonts w:ascii="Times New Roman" w:hAnsi="Times New Roman" w:eastAsia="宋体" w:cs="Times New Roman"/>
          <w:kern w:val="2"/>
          <w:sz w:val="21"/>
          <w:szCs w:val="24"/>
          <w:lang w:val="en-US" w:eastAsia="zh-CN" w:bidi="ar-SA"/>
        </w:rPr>
      </w:pPr>
    </w:p>
    <w:sectPr>
      <w:headerReference r:id="rId11" w:type="default"/>
      <w:footnotePr>
        <w:numFmt w:val="decimal"/>
        <w:numRestart w:val="eachPage"/>
      </w:footnotePr>
      <w:pgSz w:w="11906" w:h="16838"/>
      <w:pgMar w:top="1440" w:right="1800" w:bottom="1440" w:left="1800"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4"/>
        <w:snapToGrid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swiss"/>
    <w:pitch w:val="default"/>
    <w:sig w:usb0="E0002E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黑体">
    <w:panose1 w:val="02010609060101010101"/>
    <w:charset w:val="50"/>
    <w:family w:val="auto"/>
    <w:pitch w:val="default"/>
    <w:sig w:usb0="800002BF" w:usb1="38CF7CFA" w:usb2="00000016" w:usb3="00000000" w:csb0="00040001" w:csb1="00000000"/>
  </w:font>
  <w:font w:name="华文细黑">
    <w:panose1 w:val="02010600040101010101"/>
    <w:charset w:val="50"/>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微软雅黑">
    <w:panose1 w:val="020B0503020204020204"/>
    <w:charset w:val="50"/>
    <w:family w:val="auto"/>
    <w:pitch w:val="default"/>
    <w:sig w:usb0="80000287" w:usb1="28CF3C50" w:usb2="00000016" w:usb3="00000000" w:csb0="0004001F" w:csb1="00000000"/>
  </w:font>
  <w:font w:name="AdobeHeitiStd-Regular">
    <w:altName w:val="宋体"/>
    <w:panose1 w:val="00000000000000000000"/>
    <w:charset w:val="86"/>
    <w:family w:val="auto"/>
    <w:pitch w:val="default"/>
    <w:sig w:usb0="00000000" w:usb1="00000000" w:usb2="00000010" w:usb3="00000000" w:csb0="00040000" w:csb1="00000000"/>
  </w:font>
  <w:font w:name="DLF-32769-5-1677074337+ZFEBAS-1">
    <w:altName w:val="宋体"/>
    <w:panose1 w:val="00000000000000000000"/>
    <w:charset w:val="86"/>
    <w:family w:val="auto"/>
    <w:pitch w:val="default"/>
    <w:sig w:usb0="00000000" w:usb1="00000000" w:usb2="00000010" w:usb3="00000000" w:csb0="00040000" w:csb1="00000000"/>
  </w:font>
  <w:font w:name="DLF-32769-2-560732317+ZFEBAS-10">
    <w:altName w:val="宋体"/>
    <w:panose1 w:val="00000000000000000000"/>
    <w:charset w:val="86"/>
    <w:family w:val="auto"/>
    <w:pitch w:val="default"/>
    <w:sig w:usb0="00000000" w:usb1="00000000" w:usb2="00000010" w:usb3="00000000" w:csb0="00040000" w:csb1="00000000"/>
  </w:font>
  <w:font w:name="DLF-32769-3-746813137+ZFEBAS-10">
    <w:altName w:val="宋体"/>
    <w:panose1 w:val="00000000000000000000"/>
    <w:charset w:val="86"/>
    <w:family w:val="auto"/>
    <w:pitch w:val="default"/>
    <w:sig w:usb0="00000000" w:usb1="00000000" w:usb2="00000010" w:usb3="00000000" w:csb0="00040000" w:csb1="00000000"/>
  </w:font>
  <w:font w:name="DLF-32769-4-1315970340+ZFEBAS-1">
    <w:altName w:val="宋体"/>
    <w:panose1 w:val="00000000000000000000"/>
    <w:charset w:val="86"/>
    <w:family w:val="auto"/>
    <w:pitch w:val="default"/>
    <w:sig w:usb0="00000000" w:usb1="00000000" w:usb2="00000010" w:usb3="00000000" w:csb0="00040000" w:csb1="00000000"/>
  </w:font>
  <w:font w:name="DLF-32769-4-676154049+ZFEBAS-11">
    <w:altName w:val="宋体"/>
    <w:panose1 w:val="00000000000000000000"/>
    <w:charset w:val="86"/>
    <w:family w:val="auto"/>
    <w:pitch w:val="default"/>
    <w:sig w:usb0="00000000" w:usb1="00000000" w:usb2="00000010" w:usb3="00000000" w:csb0="00040000" w:csb1="00000000"/>
  </w:font>
  <w:font w:name="DLF-32769-3-1601312801+ZFEBAT-1">
    <w:altName w:val="宋体"/>
    <w:panose1 w:val="00000000000000000000"/>
    <w:charset w:val="86"/>
    <w:family w:val="auto"/>
    <w:pitch w:val="default"/>
    <w:sig w:usb0="00000000" w:usb1="00000000" w:usb2="00000010" w:usb3="00000000" w:csb0="00040000" w:csb1="00000000"/>
  </w:font>
  <w:font w:name="DLF-3-36-1060196636+ZFEBAT-1145">
    <w:altName w:val="宋体"/>
    <w:panose1 w:val="00000000000000000000"/>
    <w:charset w:val="86"/>
    <w:family w:val="auto"/>
    <w:pitch w:val="default"/>
    <w:sig w:usb0="00000000" w:usb1="00000000" w:usb2="00000010" w:usb3="00000000" w:csb0="00040000" w:csb1="00000000"/>
  </w:font>
  <w:font w:name="DLF-3-0-1074079681+ZFEBAS-1105">
    <w:altName w:val="宋体"/>
    <w:panose1 w:val="00000000000000000000"/>
    <w:charset w:val="86"/>
    <w:family w:val="auto"/>
    <w:pitch w:val="default"/>
    <w:sig w:usb0="00000000" w:usb1="00000000" w:usb2="00000010" w:usb3="00000000" w:csb0="00040000" w:csb1="00000000"/>
  </w:font>
  <w:font w:name="DLF-32769-3-639184735+ZFEBAU-11">
    <w:altName w:val="宋体"/>
    <w:panose1 w:val="00000000000000000000"/>
    <w:charset w:val="86"/>
    <w:family w:val="auto"/>
    <w:pitch w:val="default"/>
    <w:sig w:usb0="00000000" w:usb1="00000000" w:usb2="00000010" w:usb3="00000000" w:csb0="00040000" w:csb1="00000000"/>
  </w:font>
  <w:font w:name="DLF-3-36-964304212+ZFEBAU-1150">
    <w:altName w:val="宋体"/>
    <w:panose1 w:val="00000000000000000000"/>
    <w:charset w:val="86"/>
    <w:family w:val="auto"/>
    <w:pitch w:val="default"/>
    <w:sig w:usb0="00000000" w:usb1="00000000" w:usb2="00000010" w:usb3="00000000" w:csb0="00040000" w:csb1="00000000"/>
  </w:font>
  <w:font w:name="DLF-32769-4-1834944307+ZFEBAS-1">
    <w:altName w:val="宋体"/>
    <w:panose1 w:val="00000000000000000000"/>
    <w:charset w:val="86"/>
    <w:family w:val="auto"/>
    <w:pitch w:val="default"/>
    <w:sig w:usb0="00000000" w:usb1="00000000" w:usb2="00000010" w:usb3="00000000" w:csb0="00040000" w:csb1="00000000"/>
  </w:font>
  <w:font w:name="DLF-32769-2-1654537873+ZFEBAS-1">
    <w:altName w:val="宋体"/>
    <w:panose1 w:val="00000000000000000000"/>
    <w:charset w:val="86"/>
    <w:family w:val="auto"/>
    <w:pitch w:val="default"/>
    <w:sig w:usb0="00000000" w:usb1="00000000" w:usb2="00000010" w:usb3="00000000" w:csb0="00040000" w:csb1="00000000"/>
  </w:font>
  <w:font w:name="DLF-32769-4-1586131684+ZFEBAS-1">
    <w:altName w:val="宋体"/>
    <w:panose1 w:val="00000000000000000000"/>
    <w:charset w:val="86"/>
    <w:family w:val="auto"/>
    <w:pitch w:val="default"/>
    <w:sig w:usb0="00000000" w:usb1="00000000" w:usb2="00000010" w:usb3="00000000" w:csb0="00040000" w:csb1="00000000"/>
  </w:font>
  <w:font w:name="DLF-3-0-1436878533+ZFEBAS-1113">
    <w:altName w:val="宋体"/>
    <w:panose1 w:val="00000000000000000000"/>
    <w:charset w:val="86"/>
    <w:family w:val="auto"/>
    <w:pitch w:val="default"/>
    <w:sig w:usb0="00000000" w:usb1="00000000" w:usb2="00000010" w:usb3="00000000" w:csb0="00040000" w:csb1="00000000"/>
  </w:font>
  <w:font w:name="DLF-32769-4-910915735+ZFEBAT-11">
    <w:altName w:val="宋体"/>
    <w:panose1 w:val="00000000000000000000"/>
    <w:charset w:val="86"/>
    <w:family w:val="auto"/>
    <w:pitch w:val="default"/>
    <w:sig w:usb0="00000000" w:usb1="00000000" w:usb2="00000010" w:usb3="00000000" w:csb0="00040000" w:csb1="00000000"/>
  </w:font>
  <w:font w:name="DLF-3-0-1636107851+ZFEBAT-1119">
    <w:altName w:val="宋体"/>
    <w:panose1 w:val="00000000000000000000"/>
    <w:charset w:val="86"/>
    <w:family w:val="auto"/>
    <w:pitch w:val="default"/>
    <w:sig w:usb0="00000000" w:usb1="00000000" w:usb2="00000010" w:usb3="00000000" w:csb0="00040000" w:csb1="00000000"/>
  </w:font>
  <w:font w:name="DLF-32769-2-1449798052+ZFEBAT-1">
    <w:altName w:val="宋体"/>
    <w:panose1 w:val="00000000000000000000"/>
    <w:charset w:val="86"/>
    <w:family w:val="auto"/>
    <w:pitch w:val="default"/>
    <w:sig w:usb0="00000000" w:usb1="00000000" w:usb2="00000010" w:usb3="00000000" w:csb0="00040000" w:csb1="00000000"/>
  </w:font>
  <w:font w:name="DLF-32769-3-677460314+ZFEBAT-11">
    <w:altName w:val="宋体"/>
    <w:panose1 w:val="00000000000000000000"/>
    <w:charset w:val="86"/>
    <w:family w:val="auto"/>
    <w:pitch w:val="default"/>
    <w:sig w:usb0="00000000" w:usb1="00000000" w:usb2="00000010" w:usb3="00000000" w:csb0="00040000" w:csb1="00000000"/>
  </w:font>
  <w:font w:name="DLF-32769-4-1448289154+ZFEBAT-1">
    <w:altName w:val="宋体"/>
    <w:panose1 w:val="00000000000000000000"/>
    <w:charset w:val="86"/>
    <w:family w:val="auto"/>
    <w:pitch w:val="default"/>
    <w:sig w:usb0="00000000" w:usb1="00000000" w:usb2="00000010" w:usb3="00000000" w:csb0="00040000" w:csb1="00000000"/>
  </w:font>
  <w:font w:name="DLF-3-0-74655049+ZFEBAT-1125">
    <w:altName w:val="宋体"/>
    <w:panose1 w:val="00000000000000000000"/>
    <w:charset w:val="86"/>
    <w:family w:val="auto"/>
    <w:pitch w:val="default"/>
    <w:sig w:usb0="00000000" w:usb1="00000000" w:usb2="00000010" w:usb3="00000000" w:csb0="00040000" w:csb1="00000000"/>
  </w:font>
  <w:font w:name="DLF-32769-3-1306002146+ZFEBAT-1">
    <w:altName w:val="宋体"/>
    <w:panose1 w:val="00000000000000000000"/>
    <w:charset w:val="86"/>
    <w:family w:val="auto"/>
    <w:pitch w:val="default"/>
    <w:sig w:usb0="00000000" w:usb1="00000000" w:usb2="00000010" w:usb3="00000000" w:csb0="00040000" w:csb1="00000000"/>
  </w:font>
  <w:font w:name="DLF-32769-4-1185946357+ZFEBAT-1">
    <w:altName w:val="宋体"/>
    <w:panose1 w:val="00000000000000000000"/>
    <w:charset w:val="86"/>
    <w:family w:val="auto"/>
    <w:pitch w:val="default"/>
    <w:sig w:usb0="00000000" w:usb1="00000000" w:usb2="00000010" w:usb3="00000000" w:csb0="00040000" w:csb1="00000000"/>
  </w:font>
  <w:font w:name="DLF-3-0-371202761+ZFEBAT-1131">
    <w:altName w:val="宋体"/>
    <w:panose1 w:val="00000000000000000000"/>
    <w:charset w:val="86"/>
    <w:family w:val="auto"/>
    <w:pitch w:val="default"/>
    <w:sig w:usb0="00000000" w:usb1="00000000" w:usb2="00000010" w:usb3="00000000" w:csb0="00040000" w:csb1="00000000"/>
  </w:font>
  <w:font w:name="DLF-32769-4-1619026581+ZFEBAT-1">
    <w:altName w:val="宋体"/>
    <w:panose1 w:val="00000000000000000000"/>
    <w:charset w:val="86"/>
    <w:family w:val="auto"/>
    <w:pitch w:val="default"/>
    <w:sig w:usb0="00000000" w:usb1="00000000" w:usb2="00000010" w:usb3="00000000" w:csb0="00040000" w:csb1="00000000"/>
  </w:font>
  <w:font w:name="DLF-3-0-157622538+ZFEBAT-1135">
    <w:altName w:val="宋体"/>
    <w:panose1 w:val="00000000000000000000"/>
    <w:charset w:val="86"/>
    <w:family w:val="auto"/>
    <w:pitch w:val="default"/>
    <w:sig w:usb0="00000000" w:usb1="00000000" w:usb2="00000010" w:usb3="00000000" w:csb0="00040000" w:csb1="00000000"/>
  </w:font>
  <w:font w:name="DLF-32769-3-40174389+ZFEBAT-113">
    <w:altName w:val="宋体"/>
    <w:panose1 w:val="00000000000000000000"/>
    <w:charset w:val="86"/>
    <w:family w:val="auto"/>
    <w:pitch w:val="default"/>
    <w:sig w:usb0="00000000" w:usb1="00000000" w:usb2="00000010" w:usb3="00000000" w:csb0="00040000" w:csb1="00000000"/>
  </w:font>
  <w:font w:name="DLF-32769-4-2017924500+ZFEBAT-1">
    <w:altName w:val="宋体"/>
    <w:panose1 w:val="00000000000000000000"/>
    <w:charset w:val="86"/>
    <w:family w:val="auto"/>
    <w:pitch w:val="default"/>
    <w:sig w:usb0="00000000" w:usb1="00000000" w:usb2="00000010" w:usb3="00000000" w:csb0="00040000" w:csb1="00000000"/>
  </w:font>
  <w:font w:name="DLF-3-0-638982870+ZFEBAT-1141">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叶根友毛笔行书2.0版">
    <w:altName w:val="宋体"/>
    <w:panose1 w:val="02010601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panose1 w:val="020B0502040204020203"/>
    <w:charset w:val="86"/>
    <w:family w:val="auto"/>
    <w:pitch w:val="default"/>
    <w:sig w:usb0="80000287" w:usb1="28CF0010" w:usb2="00000016" w:usb3="00000000" w:csb0="0004001F" w:csb1="00000000"/>
  </w:font>
  <w:font w:name="黑体">
    <w:panose1 w:val="02010609060101010101"/>
    <w:charset w:val="88"/>
    <w:family w:val="auto"/>
    <w:pitch w:val="default"/>
    <w:sig w:usb0="800002BF" w:usb1="38CF7CFA" w:usb2="00000016" w:usb3="00000000" w:csb0="00040001" w:csb1="00000000"/>
  </w:font>
  <w:font w:name="Heiti SC Light">
    <w:altName w:val="Microsoft JhengHei UI Light"/>
    <w:panose1 w:val="02000000000000000000"/>
    <w:charset w:val="88"/>
    <w:family w:val="auto"/>
    <w:pitch w:val="default"/>
    <w:sig w:usb0="00000000" w:usb1="00000000" w:usb2="00000010" w:usb3="00000000" w:csb0="003E0000" w:csb1="00000000"/>
  </w:font>
  <w:font w:name="MingLiU">
    <w:altName w:val="PMingLiU-ExtB"/>
    <w:panose1 w:val="02020509000000000000"/>
    <w:charset w:val="88"/>
    <w:family w:val="auto"/>
    <w:pitch w:val="default"/>
    <w:sig w:usb0="00000000" w:usb1="00000000" w:usb2="00000016" w:usb3="00000000" w:csb0="00100001" w:csb1="00000000"/>
  </w:font>
  <w:font w:name="Batang">
    <w:altName w:val="Malgun Gothic"/>
    <w:panose1 w:val="02030600000101010101"/>
    <w:charset w:val="81"/>
    <w:family w:val="auto"/>
    <w:pitch w:val="default"/>
    <w:sig w:usb0="00000000" w:usb1="00000000" w:usb2="00000030" w:usb3="00000000" w:csb0="4008009F" w:csb1="DFD70000"/>
  </w:font>
  <w:font w:name="Microsoft JhengHei UI Light">
    <w:panose1 w:val="020B0304030504040204"/>
    <w:charset w:val="88"/>
    <w:family w:val="auto"/>
    <w:pitch w:val="default"/>
    <w:sig w:usb0="8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SSJ0+ZCGL88-1">
    <w:altName w:val="宋体"/>
    <w:panose1 w:val="00000000000000000000"/>
    <w:charset w:val="86"/>
    <w:family w:val="auto"/>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Heiti SC Light">
    <w:altName w:val="Microsoft YaHei UI Light"/>
    <w:panose1 w:val="02000000000000000000"/>
    <w:charset w:val="50"/>
    <w:family w:val="auto"/>
    <w:pitch w:val="default"/>
    <w:sig w:usb0="00000000" w:usb1="00000000" w:usb2="00000010" w:usb3="00000000" w:csb0="00040000" w:csb1="00000000"/>
  </w:font>
  <w:font w:name="楷体">
    <w:panose1 w:val="02010609060101010101"/>
    <w:charset w:val="50"/>
    <w:family w:val="auto"/>
    <w:pitch w:val="default"/>
    <w:sig w:usb0="800002BF" w:usb1="38CF7CFA" w:usb2="00000016" w:usb3="00000000" w:csb0="00040001" w:csb1="00000000"/>
  </w:font>
  <w:font w:name="Microsoft YaHei UI Light">
    <w:panose1 w:val="020B0502040204020203"/>
    <w:charset w:val="86"/>
    <w:family w:val="auto"/>
    <w:pitch w:val="default"/>
    <w:sig w:usb0="80000287" w:usb1="28CF001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Adobe 黑体 Std R">
    <w:altName w:val="黑体"/>
    <w:panose1 w:val="020B0400000000000000"/>
    <w:charset w:val="86"/>
    <w:family w:val="auto"/>
    <w:pitch w:val="default"/>
    <w:sig w:usb0="00000000" w:usb1="00000000" w:usb2="00000016" w:usb3="00000000" w:csb0="00060007" w:csb1="00000000"/>
  </w:font>
  <w:font w:name="Gulim">
    <w:altName w:val="Malgun Gothic"/>
    <w:panose1 w:val="020B0600000101010101"/>
    <w:charset w:val="81"/>
    <w:family w:val="auto"/>
    <w:pitch w:val="default"/>
    <w:sig w:usb0="00000000" w:usb1="00000000" w:usb2="00000030" w:usb3="00000000" w:csb0="4008009F" w:csb1="DFD70000"/>
  </w:font>
  <w:font w:name="Bookshelf Symbol 7">
    <w:panose1 w:val="05010101010101010101"/>
    <w:charset w:val="00"/>
    <w:family w:val="auto"/>
    <w:pitch w:val="default"/>
    <w:sig w:usb0="00000000" w:usb1="00000000" w:usb2="00000000" w:usb3="00000000" w:csb0="80000000" w:csb1="00000000"/>
  </w:font>
  <w:font w:name="Verdana">
    <w:panose1 w:val="020B0604030504040204"/>
    <w:charset w:val="00"/>
    <w:family w:val="swiss"/>
    <w:pitch w:val="default"/>
    <w:sig w:usb0="A10006FF" w:usb1="4000205B" w:usb2="00000010" w:usb3="00000000" w:csb0="2000019F" w:csb1="00000000"/>
  </w:font>
  <w:font w:name="宋体-PUA">
    <w:altName w:val="宋体"/>
    <w:panose1 w:val="02010600030101010101"/>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Webdings">
    <w:panose1 w:val="05030102010509060703"/>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Microsoft JhengHei UI Light">
    <w:panose1 w:val="020B0304030504040204"/>
    <w:charset w:val="86"/>
    <w:family w:val="auto"/>
    <w:pitch w:val="default"/>
    <w:sig w:usb0="800002A7" w:usb1="28CF4400" w:usb2="00000016" w:usb3="00000000" w:csb0="00100009" w:csb1="00000000"/>
  </w:font>
  <w:font w:name="ˎ̥">
    <w:altName w:val="Times New Roman"/>
    <w:panose1 w:val="00000000000000000000"/>
    <w:charset w:val="00"/>
    <w:family w:val="roman"/>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Hiragino Sans GB">
    <w:altName w:val="Times New Roman"/>
    <w:panose1 w:val="00000000000000000000"/>
    <w:charset w:val="00"/>
    <w:family w:val="auto"/>
    <w:pitch w:val="default"/>
    <w:sig w:usb0="00000000" w:usb1="00000000" w:usb2="00000000"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AR BLANCA">
    <w:panose1 w:val="02000000000000000000"/>
    <w:charset w:val="00"/>
    <w:family w:val="auto"/>
    <w:pitch w:val="default"/>
    <w:sig w:usb0="8000002F" w:usb1="0000000A" w:usb2="00000000" w:usb3="00000000" w:csb0="00000001" w:csb1="00000000"/>
  </w:font>
  <w:font w:name="Vrinda">
    <w:altName w:val="Segoe UI Symbol"/>
    <w:panose1 w:val="020B0502040204020203"/>
    <w:charset w:val="00"/>
    <w:family w:val="auto"/>
    <w:pitch w:val="default"/>
    <w:sig w:usb0="00000000" w:usb1="00000000" w:usb2="00000000" w:usb3="00000000" w:csb0="00000001" w:csb1="00000000"/>
  </w:font>
  <w:font w:name="Malgun Gothic Semilight">
    <w:panose1 w:val="020B0502040204020203"/>
    <w:charset w:val="86"/>
    <w:family w:val="auto"/>
    <w:pitch w:val="default"/>
    <w:sig w:usb0="900002AF" w:usb1="01D77CFB" w:usb2="00000012" w:usb3="00000000" w:csb0="203E01BD" w:csb1="D7FF0000"/>
  </w:font>
  <w:font w:name="Wide Latin">
    <w:panose1 w:val="020A0A07050505020404"/>
    <w:charset w:val="00"/>
    <w:family w:val="auto"/>
    <w:pitch w:val="default"/>
    <w:sig w:usb0="00000003" w:usb1="00000000" w:usb2="00000000" w:usb3="00000000" w:csb0="20000001" w:csb1="00000000"/>
  </w:font>
  <w:font w:name="Segoe UI Symbol">
    <w:panose1 w:val="020B0502040204020203"/>
    <w:charset w:val="00"/>
    <w:family w:val="auto"/>
    <w:pitch w:val="default"/>
    <w:sig w:usb0="800001E3" w:usb1="1200FFEF" w:usb2="00040000" w:usb3="04000000" w:csb0="00000001" w:csb1="4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13</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13</w:t>
                    </w:r>
                    <w:r>
                      <w:rPr>
                        <w:rFonts w:hint="eastAsia"/>
                        <w:sz w:val="18"/>
                        <w:lang w:eastAsia="zh-CN"/>
                      </w:rPr>
                      <w:fldChar w:fldCharType="end"/>
                    </w:r>
                  </w:p>
                </w:txbxContent>
              </v:textbox>
            </v:shape>
          </w:pict>
        </mc:Fallback>
      </mc:AlternateConten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snapToGrid w:val="0"/>
      </w:pPr>
      <w:r>
        <w:rPr>
          <w:rStyle w:val="12"/>
        </w:rPr>
        <w:t>*</w:t>
      </w:r>
      <w:r>
        <w:t xml:space="preserve"> </w:t>
      </w:r>
      <w:r>
        <w:rPr>
          <w:rFonts w:hint="eastAsia"/>
        </w:rPr>
        <w:t>王卫明(1972年-),男,湖北应城人</w:t>
      </w:r>
      <w:r>
        <w:rPr>
          <w:rFonts w:hint="eastAsia"/>
          <w:lang w:eastAsia="zh-CN"/>
        </w:rPr>
        <w:t>，</w:t>
      </w:r>
      <w:r>
        <w:rPr>
          <w:rFonts w:hint="eastAsia"/>
          <w:lang w:val="en-US" w:eastAsia="zh-CN"/>
        </w:rPr>
        <w:t>上海政法学院副教授，</w:t>
      </w:r>
      <w:r>
        <w:rPr>
          <w:rFonts w:hint="eastAsia"/>
        </w:rPr>
        <w:t>北京大学宪法与行政法研究中心助理研究员</w:t>
      </w:r>
      <w:r>
        <w:rPr>
          <w:rFonts w:hint="eastAsia"/>
          <w:lang w:eastAsia="zh-CN"/>
        </w:rPr>
        <w:t>，</w:t>
      </w:r>
      <w:r>
        <w:rPr>
          <w:rFonts w:hint="eastAsia"/>
        </w:rPr>
        <w:t>研究方向为宪法学。</w:t>
      </w:r>
    </w:p>
  </w:footnote>
  <w:footnote w:id="1">
    <w:p>
      <w:pPr>
        <w:pStyle w:val="7"/>
        <w:snapToGrid w:val="0"/>
      </w:pPr>
      <w:r>
        <w:rPr>
          <w:rStyle w:val="12"/>
        </w:rPr>
        <w:t>[</w:t>
      </w:r>
      <w:r>
        <w:rPr>
          <w:rStyle w:val="12"/>
        </w:rPr>
        <w:footnoteRef/>
      </w:r>
      <w:r>
        <w:rPr>
          <w:rStyle w:val="12"/>
        </w:rPr>
        <w:t>]</w:t>
      </w:r>
      <w:r>
        <w:t xml:space="preserve"> </w:t>
      </w:r>
      <w:r>
        <w:rPr>
          <w:rFonts w:hint="eastAsia"/>
        </w:rPr>
        <w:t>波兰宪法的第1条在1989年改为“波兰共和国是一个法治的、实现社会正义原则的民主国家”。</w:t>
      </w:r>
    </w:p>
  </w:footnote>
  <w:footnote w:id="2">
    <w:p>
      <w:pPr>
        <w:pStyle w:val="7"/>
        <w:snapToGrid w:val="0"/>
      </w:pPr>
      <w:r>
        <w:rPr>
          <w:rStyle w:val="12"/>
        </w:rPr>
        <w:t>[</w:t>
      </w:r>
      <w:r>
        <w:rPr>
          <w:rStyle w:val="12"/>
        </w:rPr>
        <w:footnoteRef/>
      </w:r>
      <w:r>
        <w:rPr>
          <w:rStyle w:val="12"/>
        </w:rPr>
        <w:t>]</w:t>
      </w:r>
      <w:r>
        <w:t xml:space="preserve"> </w:t>
      </w:r>
      <w:r>
        <w:rPr>
          <w:rFonts w:hint="eastAsia"/>
          <w:color w:val="auto"/>
        </w:rPr>
        <w:t>但</w:t>
      </w:r>
      <w:r>
        <w:rPr>
          <w:rFonts w:hint="eastAsia"/>
        </w:rPr>
        <w:t>是这一文本中记录有1983年通过的一个修正案,却没有记录1982年修正案;同时该文本将入到宪法原文中的方式,例如1952年宪法第33a就是1982年修正案的一个条文。</w:t>
      </w:r>
    </w:p>
  </w:footnote>
  <w:footnote w:id="3">
    <w:p>
      <w:pPr>
        <w:pStyle w:val="7"/>
        <w:snapToGrid w:val="0"/>
      </w:pPr>
      <w:r>
        <w:rPr>
          <w:rStyle w:val="12"/>
        </w:rPr>
        <w:t>[</w:t>
      </w:r>
      <w:r>
        <w:rPr>
          <w:rStyle w:val="12"/>
        </w:rPr>
        <w:footnoteRef/>
      </w:r>
      <w:r>
        <w:rPr>
          <w:rStyle w:val="12"/>
        </w:rPr>
        <w:t>]</w:t>
      </w:r>
      <w:r>
        <w:t xml:space="preserve"> </w:t>
      </w:r>
      <w:r>
        <w:rPr>
          <w:rFonts w:hint="eastAsia"/>
        </w:rPr>
        <w:t>1997年宪法第188条第4款规定“政党目标或活动的合宪性” ,但是《宪法裁判所法》第2条的规定是“政党目标和(或)活动的合宪性” ,故而此处采用裁判所法的更细致化的规定。</w:t>
      </w:r>
    </w:p>
  </w:footnote>
  <w:footnote w:id="4">
    <w:p>
      <w:pPr>
        <w:pStyle w:val="7"/>
        <w:snapToGrid w:val="0"/>
      </w:pPr>
      <w:r>
        <w:rPr>
          <w:rStyle w:val="12"/>
        </w:rPr>
        <w:t>[</w:t>
      </w:r>
      <w:r>
        <w:rPr>
          <w:rStyle w:val="12"/>
        </w:rPr>
        <w:footnoteRef/>
      </w:r>
      <w:r>
        <w:rPr>
          <w:rStyle w:val="12"/>
        </w:rPr>
        <w:t>]</w:t>
      </w:r>
      <w:r>
        <w:t xml:space="preserve"> </w:t>
      </w:r>
      <w:r>
        <w:rPr>
          <w:rFonts w:hint="eastAsia"/>
        </w:rPr>
        <w:t>宪法裁判所的判决还涉及判决的生效时间。考虑到生效时间的安排主要是技术性问题,故而本文不作讨论。</w:t>
      </w:r>
    </w:p>
  </w:footnote>
  <w:footnote w:id="5">
    <w:p>
      <w:pPr>
        <w:pStyle w:val="3"/>
        <w:rPr>
          <w:rFonts w:hint="eastAsia" w:hAnsi="宋体" w:cs="宋体"/>
          <w:sz w:val="18"/>
          <w:szCs w:val="18"/>
        </w:rPr>
      </w:pPr>
      <w:r>
        <w:rPr>
          <w:rStyle w:val="12"/>
        </w:rPr>
        <w:sym w:font="Symbol" w:char="F02A"/>
      </w:r>
      <w:r>
        <w:rPr>
          <w:rFonts w:hint="eastAsia"/>
        </w:rPr>
        <w:t xml:space="preserve"> </w:t>
      </w:r>
      <w:r>
        <w:rPr>
          <w:rFonts w:hint="eastAsia"/>
          <w:sz w:val="18"/>
          <w:szCs w:val="18"/>
        </w:rPr>
        <w:t>孙青平，女，上海政法学院副教授，研究方向为诉讼法学、司法制度、法律文书。本文发表于《前沿》</w:t>
      </w:r>
      <w:r>
        <w:rPr>
          <w:rFonts w:ascii="Times New Roman" w:hAnsi="Times New Roman" w:cs="Times New Roman"/>
          <w:sz w:val="18"/>
          <w:szCs w:val="18"/>
        </w:rPr>
        <w:t>2009</w:t>
      </w:r>
      <w:r>
        <w:rPr>
          <w:rFonts w:hint="eastAsia"/>
          <w:sz w:val="18"/>
          <w:szCs w:val="18"/>
        </w:rPr>
        <w:t>年第</w:t>
      </w:r>
      <w:r>
        <w:rPr>
          <w:rFonts w:ascii="Times New Roman" w:hAnsi="Times New Roman" w:cs="Times New Roman"/>
          <w:sz w:val="18"/>
          <w:szCs w:val="18"/>
        </w:rPr>
        <w:t>10</w:t>
      </w:r>
      <w:r>
        <w:rPr>
          <w:rFonts w:hint="eastAsia"/>
          <w:sz w:val="18"/>
          <w:szCs w:val="18"/>
        </w:rPr>
        <w:t>期。</w:t>
      </w:r>
    </w:p>
  </w:footnote>
  <w:footnote w:id="6">
    <w:p>
      <w:pPr>
        <w:pStyle w:val="7"/>
        <w:rPr>
          <w:rFonts w:hint="eastAsia"/>
        </w:rPr>
      </w:pPr>
      <w:r>
        <w:rPr>
          <w:rStyle w:val="12"/>
        </w:rPr>
        <w:sym w:font="Symbol" w:char="F05B"/>
      </w:r>
      <w:r>
        <w:rPr>
          <w:rStyle w:val="12"/>
        </w:rPr>
        <w:sym w:font="Symbol" w:char="F031"/>
      </w:r>
      <w:r>
        <w:rPr>
          <w:rStyle w:val="12"/>
        </w:rPr>
        <w:sym w:font="Symbol" w:char="F05D"/>
      </w:r>
      <w:r>
        <w:rPr>
          <w:rFonts w:hint="eastAsia"/>
        </w:rPr>
        <w:t xml:space="preserve"> </w:t>
      </w:r>
      <w:r>
        <w:rPr>
          <w:rFonts w:hint="eastAsia" w:hAnsi="宋体" w:cs="宋体"/>
        </w:rPr>
        <w:t>樊崇义、吕萍：《刑事诉讼法学》，中国人民公安大学出版社2002年版，第322页。</w:t>
      </w:r>
    </w:p>
  </w:footnote>
  <w:footnote w:id="7">
    <w:p>
      <w:pPr>
        <w:pStyle w:val="7"/>
        <w:rPr>
          <w:rFonts w:hint="eastAsia"/>
        </w:rPr>
      </w:pPr>
      <w:r>
        <w:rPr>
          <w:rStyle w:val="12"/>
        </w:rPr>
        <w:sym w:font="Symbol" w:char="F05B"/>
      </w:r>
      <w:r>
        <w:rPr>
          <w:rStyle w:val="12"/>
        </w:rPr>
        <w:sym w:font="Symbol" w:char="F032"/>
      </w:r>
      <w:r>
        <w:rPr>
          <w:rStyle w:val="12"/>
        </w:rPr>
        <w:sym w:font="Symbol" w:char="F05D"/>
      </w:r>
      <w:r>
        <w:rPr>
          <w:rFonts w:hint="eastAsia"/>
        </w:rPr>
        <w:t xml:space="preserve"> </w:t>
      </w:r>
      <w:r>
        <w:rPr>
          <w:rFonts w:hint="eastAsia" w:hAnsi="宋体" w:cs="宋体"/>
        </w:rPr>
        <w:t>宋英辉：《日本刑事诉讼法》，中国政法大学出版社2000年版，第4页。</w:t>
      </w:r>
    </w:p>
  </w:footnote>
  <w:footnote w:id="8">
    <w:p>
      <w:pPr>
        <w:pStyle w:val="3"/>
        <w:spacing w:line="288" w:lineRule="auto"/>
        <w:rPr>
          <w:rFonts w:hint="eastAsia" w:hAnsi="宋体" w:cs="宋体"/>
          <w:sz w:val="18"/>
          <w:szCs w:val="18"/>
        </w:rPr>
      </w:pPr>
      <w:r>
        <w:rPr>
          <w:rStyle w:val="12"/>
          <w:rFonts w:ascii="Times New Roman" w:hAnsi="Times New Roman" w:cs="Times New Roman"/>
          <w:sz w:val="18"/>
          <w:szCs w:val="18"/>
        </w:rPr>
        <w:sym w:font="Symbol" w:char="F05B"/>
      </w:r>
      <w:r>
        <w:rPr>
          <w:rStyle w:val="12"/>
          <w:rFonts w:ascii="Times New Roman" w:hAnsi="Times New Roman" w:cs="Times New Roman"/>
          <w:sz w:val="18"/>
          <w:szCs w:val="18"/>
        </w:rPr>
        <w:sym w:font="Symbol" w:char="F033"/>
      </w:r>
      <w:r>
        <w:rPr>
          <w:rStyle w:val="12"/>
          <w:rFonts w:ascii="Times New Roman" w:hAnsi="Times New Roman" w:cs="Times New Roman"/>
          <w:sz w:val="18"/>
          <w:szCs w:val="18"/>
        </w:rPr>
        <w:sym w:font="Symbol" w:char="F05D"/>
      </w:r>
      <w:r>
        <w:rPr>
          <w:rFonts w:hint="eastAsia"/>
        </w:rPr>
        <w:t xml:space="preserve"> </w:t>
      </w:r>
      <w:r>
        <w:rPr>
          <w:rFonts w:hint="eastAsia" w:hAnsi="宋体" w:cs="宋体"/>
          <w:sz w:val="18"/>
          <w:szCs w:val="18"/>
        </w:rPr>
        <w:t>宋英辉：《日本刑事诉讼法》，中国政法大学出版社</w:t>
      </w:r>
      <w:r>
        <w:rPr>
          <w:rFonts w:ascii="Times New Roman"/>
          <w:sz w:val="18"/>
          <w:szCs w:val="18"/>
        </w:rPr>
        <w:t>2000</w:t>
      </w:r>
      <w:r>
        <w:rPr>
          <w:rFonts w:hint="eastAsia" w:hAnsi="宋体" w:cs="宋体"/>
          <w:sz w:val="18"/>
          <w:szCs w:val="18"/>
        </w:rPr>
        <w:t>年版，第</w:t>
      </w:r>
      <w:r>
        <w:rPr>
          <w:rFonts w:ascii="Times New Roman"/>
          <w:sz w:val="18"/>
          <w:szCs w:val="18"/>
        </w:rPr>
        <w:t>9</w:t>
      </w:r>
      <w:r>
        <w:rPr>
          <w:rFonts w:hint="eastAsia" w:hAnsi="宋体" w:cs="宋体"/>
          <w:sz w:val="18"/>
          <w:szCs w:val="18"/>
        </w:rPr>
        <w:t>页。</w:t>
      </w:r>
    </w:p>
  </w:footnote>
  <w:footnote w:id="9">
    <w:p>
      <w:pPr>
        <w:pStyle w:val="3"/>
        <w:spacing w:line="288" w:lineRule="auto"/>
        <w:rPr>
          <w:rFonts w:hint="eastAsia" w:hAnsi="宋体" w:cs="宋体"/>
          <w:sz w:val="18"/>
          <w:szCs w:val="18"/>
        </w:rPr>
      </w:pPr>
      <w:r>
        <w:rPr>
          <w:rStyle w:val="12"/>
          <w:rFonts w:ascii="Times New Roman" w:hAnsi="Times New Roman" w:cs="Times New Roman"/>
          <w:sz w:val="18"/>
          <w:szCs w:val="18"/>
        </w:rPr>
        <w:sym w:font="Symbol" w:char="F05B"/>
      </w:r>
      <w:r>
        <w:rPr>
          <w:rStyle w:val="12"/>
          <w:rFonts w:ascii="Times New Roman" w:hAnsi="Times New Roman" w:cs="Times New Roman"/>
          <w:sz w:val="18"/>
          <w:szCs w:val="18"/>
        </w:rPr>
        <w:sym w:font="Symbol" w:char="F034"/>
      </w:r>
      <w:r>
        <w:rPr>
          <w:rStyle w:val="12"/>
          <w:rFonts w:ascii="Times New Roman" w:hAnsi="Times New Roman" w:cs="Times New Roman"/>
          <w:sz w:val="18"/>
          <w:szCs w:val="18"/>
        </w:rPr>
        <w:sym w:font="Symbol" w:char="F05D"/>
      </w:r>
      <w:r>
        <w:rPr>
          <w:rFonts w:hint="eastAsia"/>
        </w:rPr>
        <w:t xml:space="preserve"> </w:t>
      </w:r>
      <w:r>
        <w:rPr>
          <w:rFonts w:hint="eastAsia" w:hAnsi="宋体" w:cs="宋体"/>
          <w:sz w:val="18"/>
          <w:szCs w:val="18"/>
        </w:rPr>
        <w:t>左卫民：《刑事程序问题研究》，中国政法大学出版社</w:t>
      </w:r>
      <w:r>
        <w:rPr>
          <w:rFonts w:ascii="Times New Roman" w:hAnsi="Times New Roman" w:cs="Times New Roman"/>
          <w:sz w:val="18"/>
          <w:szCs w:val="18"/>
        </w:rPr>
        <w:t>1999</w:t>
      </w:r>
      <w:r>
        <w:rPr>
          <w:rFonts w:hint="eastAsia" w:hAnsi="宋体" w:cs="宋体"/>
          <w:sz w:val="18"/>
          <w:szCs w:val="18"/>
        </w:rPr>
        <w:t>年版，第</w:t>
      </w:r>
      <w:r>
        <w:rPr>
          <w:rFonts w:ascii="Times New Roman" w:hAnsi="Times New Roman" w:cs="Times New Roman"/>
          <w:sz w:val="18"/>
          <w:szCs w:val="18"/>
        </w:rPr>
        <w:t>248</w:t>
      </w:r>
      <w:r>
        <w:rPr>
          <w:rFonts w:hint="eastAsia" w:hAnsi="宋体" w:cs="宋体"/>
          <w:sz w:val="18"/>
          <w:szCs w:val="18"/>
        </w:rPr>
        <w:t>页。</w:t>
      </w:r>
    </w:p>
    <w:p>
      <w:pPr>
        <w:pStyle w:val="7"/>
        <w:rPr>
          <w:rFonts w:hint="eastAsia"/>
        </w:rPr>
      </w:pPr>
    </w:p>
  </w:footnote>
  <w:footnote w:id="10">
    <w:p>
      <w:pPr>
        <w:pStyle w:val="7"/>
      </w:pPr>
      <w:r>
        <w:rPr>
          <w:rStyle w:val="12"/>
        </w:rPr>
        <w:t>*</w:t>
      </w:r>
      <w:r>
        <w:t xml:space="preserve"> </w:t>
      </w:r>
      <w:r>
        <w:rPr>
          <w:vertAlign w:val="superscript"/>
        </w:rPr>
        <w:t xml:space="preserve"> </w:t>
      </w:r>
      <w:r>
        <w:rPr>
          <w:rFonts w:hint="eastAsia" w:ascii="Times New Roman" w:hAnsi="Times New Roman" w:cs="Times New Roman"/>
          <w:bCs/>
          <w:szCs w:val="21"/>
          <w:lang w:eastAsia="zh-CN"/>
        </w:rPr>
        <w:t>潘春青</w:t>
      </w:r>
      <w:r>
        <w:rPr>
          <w:rFonts w:hint="eastAsia" w:asciiTheme="majorEastAsia" w:hAnsiTheme="majorEastAsia" w:eastAsiaTheme="majorEastAsia" w:cstheme="majorEastAsia"/>
          <w:sz w:val="18"/>
          <w:szCs w:val="18"/>
          <w:lang w:val="en-US" w:eastAsia="zh-CN"/>
        </w:rPr>
        <w:t xml:space="preserve"> </w:t>
      </w:r>
      <w:r>
        <w:rPr>
          <w:rFonts w:hint="eastAsia" w:asciiTheme="majorEastAsia" w:hAnsiTheme="majorEastAsia" w:eastAsiaTheme="majorEastAsia" w:cstheme="majorEastAsia"/>
          <w:sz w:val="18"/>
          <w:szCs w:val="18"/>
          <w:lang w:eastAsia="zh-CN"/>
        </w:rPr>
        <w:t>山东烟台人，</w:t>
      </w:r>
      <w:r>
        <w:rPr>
          <w:rFonts w:hint="eastAsia" w:asciiTheme="majorEastAsia" w:hAnsiTheme="majorEastAsia" w:eastAsiaTheme="majorEastAsia" w:cstheme="majorEastAsia"/>
          <w:sz w:val="18"/>
          <w:szCs w:val="18"/>
          <w:lang w:val="en-US" w:eastAsia="zh-CN"/>
        </w:rPr>
        <w:t>2015级宪法学与行政法学研究生，导师关保英。</w:t>
      </w:r>
    </w:p>
  </w:footnote>
  <w:footnote w:id="11">
    <w:p>
      <w:pPr>
        <w:pStyle w:val="7"/>
        <w:snapToGrid w:val="0"/>
      </w:pPr>
      <w:r>
        <w:rPr>
          <w:rStyle w:val="12"/>
        </w:rPr>
        <w:t>[</w:t>
      </w:r>
      <w:r>
        <w:rPr>
          <w:rStyle w:val="12"/>
        </w:rPr>
        <w:footnoteRef/>
      </w:r>
      <w:r>
        <w:rPr>
          <w:rStyle w:val="12"/>
        </w:rPr>
        <w:t>]</w:t>
      </w:r>
      <w:r>
        <w:t xml:space="preserve"> </w:t>
      </w:r>
      <w:r>
        <w:rPr>
          <w:rFonts w:hint="eastAsia"/>
        </w:rPr>
        <w:t>徐 伟，行政行为说明理由制度的规范分析，行政与法2015年09期，第82页。</w:t>
      </w:r>
    </w:p>
  </w:footnote>
  <w:footnote w:id="12">
    <w:p>
      <w:pPr>
        <w:pStyle w:val="7"/>
        <w:snapToGrid w:val="0"/>
        <w:rPr>
          <w:rFonts w:hint="eastAsia" w:asciiTheme="majorEastAsia" w:hAnsiTheme="majorEastAsia" w:eastAsiaTheme="majorEastAsia" w:cstheme="majorEastAsia"/>
        </w:rPr>
      </w:pPr>
      <w:r>
        <w:rPr>
          <w:rStyle w:val="12"/>
        </w:rPr>
        <w:t>[</w:t>
      </w:r>
      <w:r>
        <w:rPr>
          <w:rStyle w:val="12"/>
        </w:rPr>
        <w:footnoteRef/>
      </w:r>
      <w:r>
        <w:rPr>
          <w:rStyle w:val="12"/>
        </w:rPr>
        <w:t>]</w:t>
      </w:r>
      <w:r>
        <w:rPr>
          <w:rFonts w:hint="eastAsia" w:asciiTheme="majorEastAsia" w:hAnsiTheme="majorEastAsia" w:eastAsiaTheme="majorEastAsia" w:cstheme="majorEastAsia"/>
          <w:lang w:val="en-US" w:eastAsia="zh-CN"/>
        </w:rPr>
        <w:t>《中华人民共和国慈善法》2016年9月1日起实施；《中华人民共和国食品安全法(2015修订)》2015年10月1日起实施；《中华人民共和国政府信息公开条例》2008年5月1日起实施；《中华人民共和国行政强制法》2012年1月1日起实施；《中华人民共和国国家赔偿法(2012修正)》2012年10月26日发布；《中华人民共和国证券投资基金法》2015年4月24日发布；《中华人民共和国行政许可法》2004年7月1日起实施；《中华人民共和国道路交通安全法(2011修正)》2011年4月22日发布；《中华人民共和国行政处罚法(2009修正)》2009年8月27日发布；《中华人民共和国治安管理处罚法(2012修正)》2012</w:t>
      </w:r>
      <w:r>
        <w:rPr>
          <w:rFonts w:hint="eastAsia" w:ascii="Arial" w:hAnsi="Arial" w:eastAsia="宋体" w:cs="Arial"/>
          <w:b w:val="0"/>
          <w:bCs w:val="0"/>
          <w:color w:val="000000"/>
          <w:kern w:val="0"/>
          <w:sz w:val="18"/>
          <w:szCs w:val="18"/>
          <w:lang w:val="en-US" w:eastAsia="zh-CN" w:bidi="ar"/>
        </w:rPr>
        <w:t>年</w:t>
      </w:r>
      <w:r>
        <w:rPr>
          <w:rFonts w:hint="eastAsia" w:asciiTheme="majorEastAsia" w:hAnsiTheme="majorEastAsia" w:eastAsiaTheme="majorEastAsia" w:cstheme="majorEastAsia"/>
          <w:lang w:val="en-US" w:eastAsia="zh-CN"/>
        </w:rPr>
        <w:t>10</w:t>
      </w:r>
      <w:r>
        <w:rPr>
          <w:rFonts w:hint="eastAsia" w:ascii="Arial" w:hAnsi="Arial" w:eastAsia="宋体" w:cs="Arial"/>
          <w:b w:val="0"/>
          <w:bCs w:val="0"/>
          <w:color w:val="000000"/>
          <w:kern w:val="0"/>
          <w:sz w:val="18"/>
          <w:szCs w:val="18"/>
          <w:lang w:val="en-US" w:eastAsia="zh-CN" w:bidi="ar"/>
        </w:rPr>
        <w:t>月</w:t>
      </w:r>
      <w:r>
        <w:rPr>
          <w:rFonts w:hint="eastAsia" w:asciiTheme="majorEastAsia" w:hAnsiTheme="majorEastAsia" w:eastAsiaTheme="majorEastAsia" w:cstheme="majorEastAsia"/>
          <w:lang w:val="en-US" w:eastAsia="zh-CN"/>
        </w:rPr>
        <w:t>26</w:t>
      </w:r>
      <w:r>
        <w:rPr>
          <w:rFonts w:hint="eastAsia" w:ascii="Arial" w:hAnsi="Arial" w:eastAsia="宋体" w:cs="Arial"/>
          <w:color w:val="000000"/>
          <w:kern w:val="0"/>
          <w:sz w:val="18"/>
          <w:szCs w:val="18"/>
          <w:lang w:val="en-US" w:eastAsia="zh-CN" w:bidi="ar"/>
        </w:rPr>
        <w:t>日发布</w:t>
      </w:r>
      <w:r>
        <w:rPr>
          <w:rFonts w:hint="eastAsia" w:asciiTheme="majorEastAsia" w:hAnsiTheme="majorEastAsia" w:eastAsiaTheme="majorEastAsia" w:cstheme="majorEastAsia"/>
          <w:lang w:val="en-US" w:eastAsia="zh-CN"/>
        </w:rPr>
        <w:t>。</w:t>
      </w:r>
    </w:p>
  </w:footnote>
  <w:footnote w:id="13">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18"/>
          <w:szCs w:val="18"/>
          <w:lang w:val="en-US" w:eastAsia="zh-CN"/>
        </w:rPr>
      </w:pPr>
      <w:r>
        <w:rPr>
          <w:rStyle w:val="12"/>
        </w:rPr>
        <w:t>[</w:t>
      </w:r>
      <w:r>
        <w:rPr>
          <w:rStyle w:val="12"/>
        </w:rPr>
        <w:footnoteRef/>
      </w:r>
      <w:r>
        <w:rPr>
          <w:rStyle w:val="12"/>
        </w:rPr>
        <w:t>]</w:t>
      </w:r>
      <w:r>
        <w:rPr>
          <w:rFonts w:hint="eastAsia"/>
          <w:sz w:val="18"/>
          <w:szCs w:val="18"/>
          <w:lang w:val="en-US" w:eastAsia="zh-CN"/>
        </w:rPr>
        <w:t>《湖南省行政程序规定》2008年10月1日其实施；《汕头市行政程序规定》2011年5月1日起实施；《山东省行政程序规定》2012年1月1日起实施；《西安市行政程序规定》2013年5月1日起实施；《海口市行政程序规定》2013年8月1日起实施；《江苏省行政程序规定》2015年3月1日起实施；《宁夏回族自治区行政程序规定》2015年3月1日起实施；《兰州市行政程序规定》2015年3月1日起实施。</w:t>
      </w:r>
    </w:p>
    <w:p>
      <w:pPr>
        <w:pStyle w:val="7"/>
        <w:snapToGrid w:val="0"/>
      </w:pPr>
    </w:p>
  </w:footnote>
  <w:footnote w:id="14">
    <w:p>
      <w:pPr>
        <w:pStyle w:val="7"/>
        <w:snapToGrid w:val="0"/>
      </w:pPr>
      <w:r>
        <w:rPr>
          <w:rStyle w:val="12"/>
        </w:rPr>
        <w:t>[</w:t>
      </w:r>
      <w:r>
        <w:rPr>
          <w:rStyle w:val="12"/>
        </w:rPr>
        <w:footnoteRef/>
      </w:r>
      <w:r>
        <w:rPr>
          <w:rStyle w:val="12"/>
        </w:rPr>
        <w:t>]</w:t>
      </w:r>
      <w:r>
        <w:t xml:space="preserve"> </w:t>
      </w:r>
      <w:r>
        <w:rPr>
          <w:rFonts w:hint="eastAsia"/>
        </w:rPr>
        <w:t>赵银翠，论行政行为说明理由——以行政过程为视角，法学杂志2010年第1期，第129页</w:t>
      </w:r>
      <w:r>
        <w:rPr>
          <w:rFonts w:hint="eastAsia"/>
          <w:lang w:eastAsia="zh-CN"/>
        </w:rPr>
        <w:t>。</w:t>
      </w:r>
    </w:p>
  </w:footnote>
  <w:footnote w:id="15">
    <w:p>
      <w:pPr>
        <w:pStyle w:val="7"/>
        <w:rPr>
          <w:rFonts w:hint="default" w:ascii="Times New Roman" w:hAnsi="Times New Roman" w:eastAsia="宋体" w:cs="Times New Roman"/>
        </w:rPr>
      </w:pPr>
      <w:r>
        <w:rPr>
          <w:rStyle w:val="12"/>
          <w:rFonts w:ascii="Times New Roman" w:hAnsi="Times New Roman" w:eastAsia="宋体"/>
        </w:rPr>
        <w:sym w:font="Symbol" w:char="F020"/>
      </w:r>
      <w:r>
        <w:rPr>
          <w:rFonts w:hint="default" w:ascii="Times New Roman" w:hAnsi="Times New Roman" w:eastAsia="宋体" w:cs="Times New Roman"/>
        </w:rPr>
        <w:t xml:space="preserve"> * </w:t>
      </w:r>
      <w:bookmarkStart w:id="145" w:name="_GoBack"/>
      <w:bookmarkEnd w:id="145"/>
      <w:r>
        <w:rPr>
          <w:rFonts w:hint="default" w:ascii="Times New Roman" w:hAnsi="Times New Roman" w:eastAsia="宋体" w:cs="Times New Roman"/>
        </w:rPr>
        <w:t>李明哲，四川旺苍人，上海政法学院法学理论专业2016级硕士研究生。</w:t>
      </w:r>
    </w:p>
  </w:footnote>
  <w:footnote w:id="16">
    <w:p>
      <w:pPr>
        <w:pStyle w:val="7"/>
        <w:rPr>
          <w:rFonts w:hint="default" w:ascii="Times New Roman" w:hAnsi="Times New Roman" w:eastAsia="宋体"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eastAsia="宋体" w:cs="Times New Roman"/>
        </w:rPr>
        <w:t xml:space="preserve"> 付子堂：“转型时期中国的法律与社会论纲”，《现代法学》，2004年第2期，第18-22页。</w:t>
      </w:r>
    </w:p>
  </w:footnote>
  <w:footnote w:id="17">
    <w:p>
      <w:pPr>
        <w:pStyle w:val="7"/>
        <w:rPr>
          <w:rFonts w:hint="default" w:ascii="Times New Roman" w:hAnsi="Times New Roman" w:eastAsia="宋体"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eastAsia"/>
          <w:lang w:val="en-US" w:eastAsia="zh-CN"/>
        </w:rPr>
        <w:t xml:space="preserve"> </w:t>
      </w:r>
      <w:r>
        <w:rPr>
          <w:rFonts w:hint="default" w:ascii="Times New Roman" w:hAnsi="Times New Roman" w:eastAsia="宋体" w:cs="Times New Roman"/>
        </w:rPr>
        <w:t>“1979年2月，全国人大常委会法制委员会重新组织力量对1963年起草的刑诉法草案进行修改，并于1979年6月完成“修正二稿”提请全国人大审议。1979年7月1日，第五届全国人民代表大会第二次会议通过了我国第一部社会主义性质的刑事诉讼法典。”参见徐日丹：“刑诉法：</w:t>
      </w:r>
      <w:r>
        <w:rPr>
          <w:rFonts w:hint="default" w:ascii="Times New Roman" w:hAnsi="Times New Roman" w:eastAsia="宋体" w:cs="Times New Roman"/>
          <w:bCs/>
        </w:rPr>
        <w:t>30</w:t>
      </w:r>
      <w:r>
        <w:rPr>
          <w:rFonts w:hint="default" w:ascii="Times New Roman" w:hAnsi="Times New Roman" w:eastAsia="宋体" w:cs="Times New Roman"/>
        </w:rPr>
        <w:t>年发展历程尽显人性与科学——访北京师范大学教授宋英辉”，《检察日报》，2008年12月10日头版。实际上，据1979年刑诉法起草小组成员之一的严端教授所述，我国在1954年即研究制定刑诉法，并于1956年起草了刑诉法的草案，然而，1957年开始的“反右”运动致使刑诉法的起草工作被迫中断，再次启动已是1962年。参见景致远：“刑事诉讼立法三十年的国家记忆”，《检察风云》，2012年第期，第8-12页。</w:t>
      </w:r>
    </w:p>
  </w:footnote>
  <w:footnote w:id="18">
    <w:p>
      <w:pPr>
        <w:pStyle w:val="7"/>
        <w:rPr>
          <w:rFonts w:hint="default" w:ascii="Times New Roman" w:hAnsi="Times New Roman" w:eastAsia="宋体"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eastAsia="宋体" w:cs="Times New Roman"/>
        </w:rPr>
        <w:t xml:space="preserve"> 易延友教授指出：“中国刑事诉讼法是中国所有法律当中最具有中国特色的法律，中国刑事诉讼也是最能反映当代中国所面临的问题、中国当代社会所具有的特征的领域之一。一方面，刑事诉讼是观察社会主流价值观念的一个窗口；另一方面，社会发展状况以及主流价值观念又是我们了解刑事诉讼现状的一座桥梁。”参见：易延友：《中国刑诉与中国社会》，北京大学出版社，2010年9月第1版，第1页。</w:t>
      </w:r>
    </w:p>
  </w:footnote>
  <w:footnote w:id="19">
    <w:p>
      <w:pPr>
        <w:pStyle w:val="7"/>
        <w:rPr>
          <w:rFonts w:hint="default" w:ascii="Times New Roman" w:hAnsi="Times New Roman" w:eastAsia="宋体"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eastAsia="宋体" w:cs="Times New Roman"/>
        </w:rPr>
        <w:t xml:space="preserve"> 1979年7月1日，第五届全国人民代表大会第二次会议通过了刑诉法。1996年3月17日，第八届全国人民代表大会第四次会议通过第一次修正刑诉法。2012年3月14日，第十一届全国人民代表大会第五次会议通过对刑诉法的第二次修正。</w:t>
      </w:r>
    </w:p>
  </w:footnote>
  <w:footnote w:id="20">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rPr>
        <w:t xml:space="preserve"> </w:t>
      </w:r>
      <w:r>
        <w:rPr>
          <w:rFonts w:hint="default" w:ascii="Times New Roman" w:hAnsi="Times New Roman" w:eastAsia="宋体" w:cs="Times New Roman"/>
        </w:rPr>
        <w:t>夏勇主编：《法理讲义：关于法律的道德与学问》，北京：北京大学出版社，2010年9月第1版，第225页。</w:t>
      </w:r>
    </w:p>
  </w:footnote>
  <w:footnote w:id="21">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rPr>
        <w:t xml:space="preserve"> </w:t>
      </w:r>
      <w:r>
        <w:rPr>
          <w:rFonts w:hint="default" w:ascii="Times New Roman" w:hAnsi="Times New Roman" w:cs="Times New Roman" w:eastAsiaTheme="minorEastAsia"/>
        </w:rPr>
        <w:t>1979年刑诉法第8条规定：“被告人有权获得辩护，人民法院有义务保证被告人获得辩护。”</w:t>
      </w:r>
    </w:p>
  </w:footnote>
  <w:footnote w:id="22">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rPr>
        <w:t xml:space="preserve"> </w:t>
      </w:r>
      <w:r>
        <w:rPr>
          <w:rFonts w:hint="default" w:ascii="Times New Roman" w:hAnsi="Times New Roman" w:cs="Times New Roman" w:eastAsiaTheme="minorEastAsia"/>
        </w:rPr>
        <w:t>1980年9月2日开庭审理的“渤海二号”案件及1980年11月20日由最高人民法院特别法庭公审林彪江青两个集团的案件中的被告人均有律师进行辩护，此举无疑保障了被告人的权利。此两件开先河的案件若无1979年刑诉法的颁布，则难以设想被告人获得辩护的可能性，同时，即便辩护可能也无充分的合法性基础。</w:t>
      </w:r>
    </w:p>
  </w:footnote>
  <w:footnote w:id="23">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eastAsiaTheme="minorEastAsia"/>
        </w:rPr>
        <w:t xml:space="preserve"> 针对当时社会治安恶化的现状，1983年8月25日，中共中央发出《关于严厉打击刑事犯罪的决定》，“依法严厉打击刑事犯罪分子活动”（即“严打”）取得了立竿见影的效果。</w:t>
      </w:r>
    </w:p>
  </w:footnote>
  <w:footnote w:id="24">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rPr>
        <w:t xml:space="preserve"> </w:t>
      </w:r>
      <w:r>
        <w:rPr>
          <w:rFonts w:hint="default" w:ascii="Times New Roman" w:hAnsi="Times New Roman" w:cs="Times New Roman" w:eastAsiaTheme="minorEastAsia"/>
        </w:rPr>
        <w:t>实际上，1979年9月9日颁布的《中共中央关于坚决保证刑法、刑诉法切实实施的指示》（即“64号文件”）是官方文件中第一次使用“社会主义法治”一词。1997年党的十五大报告中正式使用法治一词，“依法治国”至此成为治国的基本方略与原则，2014年党的十八届四中全会更是以“法治”为主题，提出了全面依法治国，为我国法治建设不仅绘制了蓝图，而且制定了路线图。</w:t>
      </w:r>
    </w:p>
  </w:footnote>
  <w:footnote w:id="25">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rPr>
        <w:t xml:space="preserve"> </w:t>
      </w:r>
      <w:r>
        <w:rPr>
          <w:rFonts w:hint="default" w:ascii="Times New Roman" w:hAnsi="Times New Roman" w:cs="Times New Roman" w:eastAsiaTheme="minorEastAsia"/>
        </w:rPr>
        <w:t>受刑事追诉者在刑事诉讼中的称谓问题是法律概念、法律规范及法律体系科学化的显著标志。参见陈瑞华：“</w:t>
      </w:r>
      <w:r>
        <w:rPr>
          <w:rFonts w:hint="default" w:ascii="Times New Roman" w:hAnsi="Times New Roman" w:cs="Times New Roman" w:eastAsiaTheme="minorEastAsia"/>
          <w:bCs/>
        </w:rPr>
        <w:t>刑事诉讼法修改中需要重新研究的一个问题──‘嫌疑人’、‘被告人’和‘人犯’名称的区分与使用</w:t>
      </w:r>
      <w:r>
        <w:rPr>
          <w:rFonts w:hint="default" w:ascii="Times New Roman" w:hAnsi="Times New Roman" w:cs="Times New Roman" w:eastAsiaTheme="minorEastAsia"/>
        </w:rPr>
        <w:t>”，《政法论坛》，1994年第4期，第57—61页。</w:t>
      </w:r>
    </w:p>
  </w:footnote>
  <w:footnote w:id="26">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rPr>
        <w:t xml:space="preserve"> </w:t>
      </w:r>
      <w:r>
        <w:rPr>
          <w:rFonts w:hint="default" w:ascii="Times New Roman" w:hAnsi="Times New Roman" w:cs="Times New Roman" w:eastAsiaTheme="minorEastAsia"/>
        </w:rPr>
        <w:t>如1996年刑诉法第8条规定：“诉讼参与人对于审判人员、检察人员和侦查人员侵犯公民诉讼权利和人身侮辱的行为有权提出控告”。</w:t>
      </w:r>
    </w:p>
  </w:footnote>
  <w:footnote w:id="27">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eastAsia"/>
          <w:lang w:val="en-US" w:eastAsia="zh-CN"/>
        </w:rPr>
        <w:t xml:space="preserve"> </w:t>
      </w:r>
      <w:r>
        <w:rPr>
          <w:rFonts w:hint="default" w:ascii="Times New Roman" w:hAnsi="Times New Roman" w:cs="Times New Roman" w:eastAsiaTheme="minorEastAsia"/>
        </w:rPr>
        <w:t>左卫民、王凌：“中国刑事诉讼法制现代化历程论纲”，《法律科学》，1995年第1期，第44页。</w:t>
      </w:r>
    </w:p>
  </w:footnote>
  <w:footnote w:id="28">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eastAsiaTheme="minorEastAsia"/>
        </w:rPr>
        <w:t>实践中，作为公民的犯罪嫌疑人的权利可能受到如“刑讯逼供”等行为的侵犯，可能的冤假错案亦是对人权造成直接威胁。</w:t>
      </w:r>
    </w:p>
  </w:footnote>
  <w:footnote w:id="29">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eastAsia"/>
          <w:lang w:val="en-US" w:eastAsia="zh-CN"/>
        </w:rPr>
        <w:t xml:space="preserve"> </w:t>
      </w:r>
      <w:r>
        <w:rPr>
          <w:rFonts w:hint="default" w:ascii="Times New Roman" w:hAnsi="Times New Roman" w:cs="Times New Roman" w:eastAsiaTheme="minorEastAsia"/>
        </w:rPr>
        <w:t>刘计划：“保障人权：刑事诉讼法再修改秉持的价值理念”，《中共石家庄市委党校学报》，2012年第5期，第39页。</w:t>
      </w:r>
    </w:p>
  </w:footnote>
  <w:footnote w:id="30">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rPr>
        <w:t xml:space="preserve"> </w:t>
      </w:r>
      <w:r>
        <w:rPr>
          <w:rFonts w:hint="default" w:ascii="Times New Roman" w:hAnsi="Times New Roman" w:cs="Times New Roman" w:eastAsiaTheme="minorEastAsia"/>
        </w:rPr>
        <w:t>张文显：“司法文明新的里程碑——2012 刑事诉讼法的文明价值”，《法制与社会发展》，2013年第2期，第38-46页。</w:t>
      </w:r>
    </w:p>
  </w:footnote>
  <w:footnote w:id="31">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rPr>
        <w:t xml:space="preserve"> </w:t>
      </w:r>
      <w:r>
        <w:rPr>
          <w:rFonts w:hint="default" w:ascii="Times New Roman" w:hAnsi="Times New Roman" w:cs="Times New Roman" w:eastAsiaTheme="minorEastAsia"/>
        </w:rPr>
        <w:t>[英]雷蒙德·瓦克斯：《法哲学：价值与事实》，谭宇生译，南京：译林出版社，2013年5月第1版，第1页。</w:t>
      </w:r>
    </w:p>
  </w:footnote>
  <w:footnote w:id="32">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rPr>
        <w:t xml:space="preserve"> </w:t>
      </w:r>
      <w:r>
        <w:rPr>
          <w:rFonts w:hint="default" w:ascii="Times New Roman" w:hAnsi="Times New Roman" w:cs="Times New Roman" w:eastAsiaTheme="minorEastAsia"/>
        </w:rPr>
        <w:t>夏勇指出：“我们已经同意关于权利是现代法制的‘核心’或‘基础’的预设。”参见夏勇：《中国民权哲学》，上海：生活·读书·新知三联书店，2004年8月第1版，第3页。</w:t>
      </w:r>
    </w:p>
  </w:footnote>
  <w:footnote w:id="33">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eastAsia"/>
          <w:lang w:val="en-US" w:eastAsia="zh-CN"/>
        </w:rPr>
        <w:t xml:space="preserve"> </w:t>
      </w:r>
      <w:r>
        <w:rPr>
          <w:rFonts w:hint="default" w:ascii="Times New Roman" w:hAnsi="Times New Roman" w:cs="Times New Roman" w:eastAsiaTheme="minorEastAsia"/>
        </w:rPr>
        <w:t>如杜培武案、</w:t>
      </w:r>
      <w:r>
        <w:rPr>
          <w:rFonts w:hint="default" w:ascii="Times New Roman" w:hAnsi="Times New Roman" w:cs="Times New Roman" w:eastAsiaTheme="minorEastAsia"/>
          <w:bCs/>
        </w:rPr>
        <w:t>佘祥林</w:t>
      </w:r>
      <w:r>
        <w:rPr>
          <w:rFonts w:hint="default" w:ascii="Times New Roman" w:hAnsi="Times New Roman" w:cs="Times New Roman" w:eastAsiaTheme="minorEastAsia"/>
        </w:rPr>
        <w:t>案，参见冀祥德：“</w:t>
      </w:r>
      <w:r>
        <w:rPr>
          <w:rFonts w:hint="default" w:ascii="Times New Roman" w:hAnsi="Times New Roman" w:cs="Times New Roman" w:eastAsiaTheme="minorEastAsia"/>
          <w:bCs/>
        </w:rPr>
        <w:t>民愤的正读——杜培武、佘祥林等错案的司法性反思</w:t>
      </w:r>
      <w:r>
        <w:rPr>
          <w:rFonts w:hint="default" w:ascii="Times New Roman" w:hAnsi="Times New Roman" w:cs="Times New Roman" w:eastAsiaTheme="minorEastAsia"/>
        </w:rPr>
        <w:t>”,《现代法学》，2006年第1期。</w:t>
      </w:r>
    </w:p>
  </w:footnote>
  <w:footnote w:id="34">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eastAsiaTheme="minorEastAsia"/>
        </w:rPr>
        <w:t xml:space="preserve"> 夏勇：《中国民权哲学》，上海：生活·读书·新知三联书店，2004年8月第1版，第8页。</w:t>
      </w:r>
    </w:p>
  </w:footnote>
  <w:footnote w:id="35">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rPr>
        <w:t xml:space="preserve"> </w:t>
      </w:r>
      <w:r>
        <w:rPr>
          <w:rFonts w:hint="default" w:ascii="Times New Roman" w:hAnsi="Times New Roman" w:cs="Times New Roman" w:eastAsiaTheme="minorEastAsia"/>
        </w:rPr>
        <w:t>[美]L·亨金：《权利的时代》，信春鹰、吴玉章、李林译，信春鹰校，1997年12月第1版，第I页。</w:t>
      </w:r>
    </w:p>
  </w:footnote>
  <w:footnote w:id="36">
    <w:p>
      <w:pPr>
        <w:pStyle w:val="7"/>
        <w:rPr>
          <w:rFonts w:hint="default" w:ascii="Times New Roman" w:hAnsi="Times New Roman" w:cs="Times New Roman" w:eastAsiaTheme="minorEastAsia"/>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rPr>
        <w:t xml:space="preserve"> </w:t>
      </w:r>
      <w:r>
        <w:rPr>
          <w:rFonts w:hint="default" w:ascii="Times New Roman" w:hAnsi="Times New Roman" w:cs="Times New Roman" w:eastAsiaTheme="minorEastAsia"/>
        </w:rPr>
        <w:t>蒋云龙：“为人权概念‘脱敏’——记西南政法大学人权教育与研究中心”，《人民日报》，2014年11月26日第19版。</w:t>
      </w:r>
    </w:p>
  </w:footnote>
  <w:footnote w:id="37">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eastAsia"/>
          <w:lang w:val="en-US" w:eastAsia="zh-CN"/>
        </w:rPr>
        <w:t xml:space="preserve"> </w:t>
      </w:r>
      <w:r>
        <w:rPr>
          <w:rFonts w:hint="default" w:ascii="Times New Roman" w:hAnsi="Times New Roman" w:cs="Times New Roman" w:eastAsiaTheme="minorEastAsia"/>
        </w:rPr>
        <w:t>付子堂：“建构中国自己的人权话语体系”，《人权》，2015年第2期。</w:t>
      </w:r>
    </w:p>
  </w:footnote>
  <w:footnote w:id="38">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eastAsia"/>
          <w:lang w:val="en-US" w:eastAsia="zh-CN"/>
        </w:rPr>
        <w:t xml:space="preserve"> </w:t>
      </w:r>
      <w:r>
        <w:rPr>
          <w:rFonts w:hint="default" w:ascii="Times New Roman" w:hAnsi="Times New Roman" w:cs="Times New Roman"/>
        </w:rPr>
        <w:t xml:space="preserve">See Andrei Marmor, </w:t>
      </w:r>
      <w:r>
        <w:rPr>
          <w:rFonts w:hint="default" w:ascii="Times New Roman" w:hAnsi="Times New Roman" w:cs="Times New Roman"/>
          <w:i/>
        </w:rPr>
        <w:t>Positive Law and Objective Values</w:t>
      </w:r>
      <w:r>
        <w:rPr>
          <w:rFonts w:hint="default" w:ascii="Times New Roman" w:hAnsi="Times New Roman" w:cs="Times New Roman"/>
        </w:rPr>
        <w:t>, Oxford: Clarendon Press, 2001, p.v-viii.</w:t>
      </w:r>
    </w:p>
  </w:footnote>
  <w:footnote w:id="39">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rPr>
        <w:t xml:space="preserve"> </w:t>
      </w:r>
      <w:r>
        <w:rPr>
          <w:rFonts w:hint="default" w:ascii="Times New Roman" w:hAnsi="Times New Roman" w:cs="Times New Roman" w:eastAsiaTheme="minorEastAsia"/>
        </w:rPr>
        <w:t>王茂生：“美国禁酒立法的过程及启示”，《政治与法律》，2011年第9期。</w:t>
      </w:r>
    </w:p>
  </w:footnote>
  <w:footnote w:id="40">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rPr>
        <w:t xml:space="preserve"> </w:t>
      </w:r>
      <w:r>
        <w:rPr>
          <w:rFonts w:hint="default" w:ascii="Times New Roman" w:hAnsi="Times New Roman" w:cs="Times New Roman" w:eastAsiaTheme="minorEastAsia"/>
        </w:rPr>
        <w:t>姚建宗：“法律的政治逻辑阐释”，《政治学研究》，2010年第2期，第32-40页。</w:t>
      </w:r>
    </w:p>
  </w:footnote>
  <w:footnote w:id="41">
    <w:p>
      <w:pPr>
        <w:pStyle w:val="7"/>
        <w:snapToGrid w:val="0"/>
      </w:pPr>
      <w:r>
        <w:rPr>
          <w:rStyle w:val="12"/>
        </w:rPr>
        <w:t>*</w:t>
      </w:r>
      <w:r>
        <w:t xml:space="preserve"> </w:t>
      </w:r>
      <w:r>
        <w:rPr>
          <w:rFonts w:hint="eastAsia"/>
          <w:lang w:val="en-US" w:eastAsia="zh-CN"/>
        </w:rPr>
        <w:t>朱垒，</w:t>
      </w:r>
      <w:r>
        <w:rPr>
          <w:rFonts w:hint="eastAsia" w:ascii="宋体" w:hAnsi="宋体" w:cs="Tahoma"/>
        </w:rPr>
        <w:t>河南新乡人，上海政法学院</w:t>
      </w:r>
      <w:r>
        <w:rPr>
          <w:rFonts w:ascii="宋体" w:hAnsi="宋体" w:cs="Tahoma"/>
        </w:rPr>
        <w:t>2015</w:t>
      </w:r>
      <w:r>
        <w:rPr>
          <w:rFonts w:hint="eastAsia" w:ascii="宋体" w:hAnsi="宋体" w:cs="Tahoma"/>
        </w:rPr>
        <w:t>级研究生，法理学专业，师从汤玉枢教授。</w:t>
      </w:r>
    </w:p>
  </w:footnote>
  <w:footnote w:id="42">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default" w:ascii="Times New Roman" w:hAnsi="Times New Roman" w:cs="Times New Roman"/>
        </w:rPr>
        <w:t xml:space="preserve"> 参考：</w:t>
      </w:r>
      <w:r>
        <w:rPr>
          <w:rFonts w:hint="default" w:ascii="Times New Roman" w:hAnsi="Times New Roman" w:cs="Times New Roman"/>
          <w:color w:val="auto"/>
          <w:u w:val="none"/>
        </w:rPr>
        <w:fldChar w:fldCharType="begin"/>
      </w:r>
      <w:r>
        <w:rPr>
          <w:rFonts w:hint="default" w:ascii="Times New Roman" w:hAnsi="Times New Roman" w:cs="Times New Roman"/>
          <w:color w:val="auto"/>
          <w:u w:val="none"/>
        </w:rPr>
        <w:instrText xml:space="preserve"> HYPERLINK "http://zjnews.china.com.cn/yuanchuan/2016-05-15/81029.html.最后访问时间：2016" </w:instrText>
      </w:r>
      <w:r>
        <w:rPr>
          <w:rFonts w:hint="default" w:ascii="Times New Roman" w:hAnsi="Times New Roman" w:cs="Times New Roman"/>
          <w:color w:val="auto"/>
          <w:u w:val="none"/>
        </w:rPr>
        <w:fldChar w:fldCharType="separate"/>
      </w:r>
      <w:r>
        <w:rPr>
          <w:rStyle w:val="11"/>
          <w:rFonts w:hint="default" w:ascii="Times New Roman" w:hAnsi="Times New Roman" w:cs="Times New Roman"/>
          <w:color w:val="auto"/>
          <w:u w:val="none"/>
        </w:rPr>
        <w:t>http://zjnews.china.com.cn/yuanchuan/2016-05-15/81029.html.最后访问时间：2016</w:t>
      </w:r>
      <w:r>
        <w:rPr>
          <w:rStyle w:val="11"/>
          <w:rFonts w:hint="default" w:ascii="Times New Roman" w:hAnsi="Times New Roman" w:cs="Times New Roman"/>
          <w:color w:val="auto"/>
          <w:u w:val="none"/>
        </w:rPr>
        <w:fldChar w:fldCharType="end"/>
      </w:r>
      <w:r>
        <w:rPr>
          <w:rFonts w:hint="default" w:ascii="Times New Roman" w:hAnsi="Times New Roman" w:cs="Times New Roman"/>
        </w:rPr>
        <w:t>年5月23日。</w:t>
      </w:r>
    </w:p>
  </w:footnote>
  <w:footnote w:id="43">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eastAsia"/>
          <w:lang w:val="en-US" w:eastAsia="zh-CN"/>
        </w:rPr>
        <w:t xml:space="preserve"> </w:t>
      </w:r>
      <w:r>
        <w:rPr>
          <w:rFonts w:hint="default" w:ascii="Times New Roman" w:hAnsi="Times New Roman" w:cs="Times New Roman"/>
        </w:rPr>
        <w:t>金春梅.论个人信息权民法保护[D]</w:t>
      </w:r>
      <w:r>
        <w:rPr>
          <w:rFonts w:hint="default" w:ascii="Times New Roman" w:hAnsi="Times New Roman" w:cs="Times New Roman"/>
          <w:lang w:eastAsia="zh-CN"/>
        </w:rPr>
        <w:t>，</w:t>
      </w:r>
      <w:r>
        <w:rPr>
          <w:rFonts w:hint="default" w:ascii="Times New Roman" w:hAnsi="Times New Roman" w:cs="Times New Roman"/>
        </w:rPr>
        <w:t>沈阳工业大学</w:t>
      </w:r>
      <w:r>
        <w:rPr>
          <w:rFonts w:hint="default" w:ascii="Times New Roman" w:hAnsi="Times New Roman" w:cs="Times New Roman"/>
          <w:lang w:eastAsia="zh-CN"/>
        </w:rPr>
        <w:t>，</w:t>
      </w:r>
      <w:r>
        <w:rPr>
          <w:rFonts w:hint="default" w:ascii="Times New Roman" w:hAnsi="Times New Roman" w:cs="Times New Roman"/>
        </w:rPr>
        <w:t>2015</w:t>
      </w:r>
      <w:r>
        <w:rPr>
          <w:rFonts w:hint="default" w:ascii="Times New Roman" w:hAnsi="Times New Roman" w:cs="Times New Roman"/>
          <w:lang w:eastAsia="zh-CN"/>
        </w:rPr>
        <w:t>。</w:t>
      </w:r>
    </w:p>
  </w:footnote>
  <w:footnote w:id="44">
    <w:p>
      <w:pPr>
        <w:pStyle w:val="7"/>
        <w:rPr>
          <w:rFonts w:hint="default" w:ascii="Times New Roman" w:hAnsi="Times New Roman" w:cs="Times New Roman"/>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eastAsia"/>
          <w:lang w:val="en-US" w:eastAsia="zh-CN"/>
        </w:rPr>
        <w:t xml:space="preserve"> </w:t>
      </w:r>
      <w:r>
        <w:rPr>
          <w:rFonts w:hint="default" w:ascii="Times New Roman" w:hAnsi="Times New Roman" w:cs="Times New Roman"/>
        </w:rPr>
        <w:t>王利明.论个人信息权的法律保护[J]</w:t>
      </w:r>
      <w:r>
        <w:rPr>
          <w:rFonts w:hint="default" w:ascii="Times New Roman" w:hAnsi="Times New Roman" w:cs="Times New Roman"/>
          <w:lang w:eastAsia="zh-CN"/>
        </w:rPr>
        <w:t>，</w:t>
      </w:r>
      <w:r>
        <w:rPr>
          <w:rFonts w:hint="default" w:ascii="Times New Roman" w:hAnsi="Times New Roman" w:cs="Times New Roman"/>
        </w:rPr>
        <w:t>现代法学</w:t>
      </w:r>
      <w:r>
        <w:rPr>
          <w:rFonts w:hint="default" w:ascii="Times New Roman" w:hAnsi="Times New Roman" w:cs="Times New Roman"/>
          <w:lang w:eastAsia="zh-CN"/>
        </w:rPr>
        <w:t>，</w:t>
      </w:r>
      <w:r>
        <w:rPr>
          <w:rFonts w:hint="default" w:ascii="Times New Roman" w:hAnsi="Times New Roman" w:cs="Times New Roman"/>
        </w:rPr>
        <w:t>2013</w:t>
      </w:r>
      <w:r>
        <w:rPr>
          <w:rFonts w:hint="default" w:ascii="Times New Roman" w:hAnsi="Times New Roman" w:cs="Times New Roman"/>
          <w:lang w:eastAsia="zh-CN"/>
        </w:rPr>
        <w:t>。</w:t>
      </w:r>
    </w:p>
  </w:footnote>
  <w:footnote w:id="45">
    <w:p>
      <w:r>
        <w:rPr>
          <w:rStyle w:val="12"/>
          <w:rFonts w:ascii="Times New Roman" w:hAnsi="Times New Roman"/>
          <w:sz w:val="18"/>
        </w:rPr>
        <w:t>[</w:t>
      </w:r>
      <w:r>
        <w:rPr>
          <w:rStyle w:val="12"/>
          <w:rFonts w:ascii="Times New Roman" w:hAnsi="Times New Roman"/>
          <w:sz w:val="18"/>
        </w:rPr>
        <w:footnoteRef/>
      </w:r>
      <w:r>
        <w:rPr>
          <w:rStyle w:val="12"/>
          <w:rFonts w:ascii="Times New Roman" w:hAnsi="Times New Roman"/>
          <w:sz w:val="18"/>
        </w:rPr>
        <w:t>]</w:t>
      </w:r>
      <w:r>
        <w:rPr>
          <w:rFonts w:hint="eastAsia"/>
          <w:sz w:val="18"/>
          <w:lang w:val="en-US" w:eastAsia="zh-CN"/>
        </w:rPr>
        <w:t xml:space="preserve"> </w:t>
      </w:r>
      <w:r>
        <w:rPr>
          <w:rFonts w:hint="eastAsia"/>
          <w:sz w:val="18"/>
          <w:szCs w:val="18"/>
        </w:rPr>
        <w:t>中国互联网络信息中心：《中国互联网络发展状况统</w:t>
      </w:r>
      <w:r>
        <w:rPr>
          <w:rFonts w:hint="eastAsia" w:ascii="宋体" w:hAnsi="宋体"/>
          <w:sz w:val="18"/>
          <w:szCs w:val="18"/>
        </w:rPr>
        <w:t>计报告》</w:t>
      </w:r>
      <w:r>
        <w:rPr>
          <w:rFonts w:ascii="宋体" w:hAnsi="宋体"/>
          <w:sz w:val="18"/>
          <w:szCs w:val="18"/>
        </w:rPr>
        <w:t>2016</w:t>
      </w:r>
      <w:r>
        <w:rPr>
          <w:rFonts w:hint="eastAsia" w:ascii="宋体" w:hAnsi="宋体"/>
          <w:sz w:val="18"/>
          <w:szCs w:val="18"/>
        </w:rPr>
        <w:t>年</w:t>
      </w:r>
      <w:r>
        <w:rPr>
          <w:rFonts w:ascii="宋体" w:hAnsi="宋体"/>
          <w:sz w:val="18"/>
          <w:szCs w:val="18"/>
        </w:rPr>
        <w:t>1</w:t>
      </w:r>
      <w:r>
        <w:rPr>
          <w:rFonts w:hint="eastAsia" w:ascii="宋体" w:hAnsi="宋体"/>
          <w:sz w:val="18"/>
          <w:szCs w:val="18"/>
        </w:rPr>
        <w:t>月，第</w:t>
      </w:r>
      <w:r>
        <w:rPr>
          <w:rFonts w:ascii="宋体" w:hAnsi="宋体"/>
          <w:sz w:val="18"/>
          <w:szCs w:val="18"/>
        </w:rPr>
        <w:t>43-45</w:t>
      </w:r>
      <w:r>
        <w:rPr>
          <w:rFonts w:hint="eastAsia" w:ascii="宋体" w:hAnsi="宋体"/>
          <w:sz w:val="18"/>
          <w:szCs w:val="18"/>
        </w:rPr>
        <w:t>页。</w:t>
      </w:r>
    </w:p>
  </w:footnote>
  <w:footnote w:id="46">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谭伟</w:t>
      </w:r>
      <w:r>
        <w:rPr>
          <w:rFonts w:hint="eastAsia" w:ascii="宋体" w:hAnsi="宋体" w:cs="宋体"/>
        </w:rPr>
        <w:t>：</w:t>
      </w:r>
      <w:r>
        <w:rPr>
          <w:rFonts w:ascii="宋体" w:hAnsi="宋体" w:cs="宋体"/>
        </w:rPr>
        <w:t xml:space="preserve"> </w:t>
      </w:r>
      <w:r>
        <w:rPr>
          <w:rFonts w:hint="eastAsia" w:ascii="宋体" w:hAnsi="宋体" w:cs="宋体"/>
        </w:rPr>
        <w:t>《</w:t>
      </w:r>
      <w:r>
        <w:rPr>
          <w:rFonts w:hint="eastAsia"/>
        </w:rPr>
        <w:t>网络舆论概念及特征</w:t>
      </w:r>
      <w:r>
        <w:rPr>
          <w:rFonts w:hint="eastAsia" w:ascii="宋体" w:hAnsi="宋体" w:cs="宋体"/>
        </w:rPr>
        <w:t>》</w:t>
      </w:r>
      <w:r>
        <w:rPr>
          <w:rFonts w:ascii="宋体" w:hAnsi="宋体" w:cs="宋体"/>
        </w:rPr>
        <w:t xml:space="preserve"> </w:t>
      </w:r>
      <w:r>
        <w:rPr>
          <w:rFonts w:hint="eastAsia" w:ascii="宋体" w:hAnsi="宋体" w:cs="宋体"/>
        </w:rPr>
        <w:t>，载《</w:t>
      </w:r>
      <w:r>
        <w:rPr>
          <w:rFonts w:hint="eastAsia"/>
        </w:rPr>
        <w:t>湖南社会科学</w:t>
      </w:r>
      <w:r>
        <w:rPr>
          <w:rFonts w:hint="eastAsia" w:ascii="宋体" w:hAnsi="宋体" w:cs="宋体"/>
        </w:rPr>
        <w:t>》</w:t>
      </w:r>
      <w:r>
        <w:rPr>
          <w:rFonts w:ascii="宋体" w:hAnsi="宋体" w:cs="宋体"/>
        </w:rPr>
        <w:t>2003</w:t>
      </w:r>
      <w:r>
        <w:rPr>
          <w:rFonts w:hint="eastAsia" w:ascii="宋体" w:hAnsi="宋体" w:cs="宋体"/>
        </w:rPr>
        <w:t>年第</w:t>
      </w:r>
      <w:r>
        <w:rPr>
          <w:rFonts w:ascii="宋体" w:hAnsi="宋体" w:cs="宋体"/>
        </w:rPr>
        <w:t>5</w:t>
      </w:r>
      <w:r>
        <w:rPr>
          <w:rFonts w:hint="eastAsia" w:ascii="宋体" w:hAnsi="宋体" w:cs="宋体"/>
        </w:rPr>
        <w:t>期</w:t>
      </w:r>
      <w:r>
        <w:rPr>
          <w:rFonts w:hint="eastAsia" w:ascii="Times New Roman" w:hAnsi="Times New Roman"/>
        </w:rPr>
        <w:t>，</w:t>
      </w:r>
      <w:r>
        <w:rPr>
          <w:rFonts w:hint="eastAsia" w:ascii="宋体" w:hAnsi="宋体" w:cs="宋体"/>
        </w:rPr>
        <w:t>第</w:t>
      </w:r>
      <w:r>
        <w:rPr>
          <w:rFonts w:ascii="宋体" w:hAnsi="宋体" w:cs="宋体"/>
        </w:rPr>
        <w:t>188</w:t>
      </w:r>
      <w:r>
        <w:rPr>
          <w:rFonts w:hint="eastAsia" w:ascii="宋体" w:hAnsi="宋体" w:cs="宋体"/>
        </w:rPr>
        <w:t>至</w:t>
      </w:r>
      <w:r>
        <w:rPr>
          <w:rFonts w:ascii="宋体" w:hAnsi="宋体" w:cs="宋体"/>
        </w:rPr>
        <w:t>190</w:t>
      </w:r>
      <w:r>
        <w:rPr>
          <w:rFonts w:hint="eastAsia" w:ascii="宋体" w:hAnsi="宋体" w:cs="宋体"/>
        </w:rPr>
        <w:t>页。</w:t>
      </w:r>
    </w:p>
  </w:footnote>
  <w:footnote w:id="47">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袁建辉</w:t>
      </w:r>
      <w:r>
        <w:rPr>
          <w:rFonts w:hint="eastAsia" w:ascii="宋体" w:hAnsi="宋体" w:cs="宋体"/>
        </w:rPr>
        <w:t>：《</w:t>
      </w:r>
      <w:r>
        <w:t>.</w:t>
      </w:r>
      <w:r>
        <w:rPr>
          <w:rFonts w:hint="eastAsia"/>
        </w:rPr>
        <w:t>法律规制视角下的网络舆论研究</w:t>
      </w:r>
      <w:r>
        <w:rPr>
          <w:rFonts w:hint="eastAsia" w:ascii="宋体" w:hAnsi="宋体" w:cs="宋体"/>
        </w:rPr>
        <w:t>》</w:t>
      </w:r>
      <w:r>
        <w:t xml:space="preserve"> </w:t>
      </w:r>
      <w:r>
        <w:rPr>
          <w:rFonts w:hint="eastAsia"/>
        </w:rPr>
        <w:t>，西南政法大学</w:t>
      </w:r>
      <w:r>
        <w:rPr>
          <w:rFonts w:ascii="宋体" w:hAnsi="宋体" w:cs="宋体"/>
        </w:rPr>
        <w:t>2010</w:t>
      </w:r>
      <w:r>
        <w:rPr>
          <w:rFonts w:hint="eastAsia" w:ascii="宋体" w:hAnsi="宋体" w:cs="宋体"/>
        </w:rPr>
        <w:t>年卷。</w:t>
      </w:r>
    </w:p>
  </w:footnote>
  <w:footnote w:id="48">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也称“从众效应”：是个人的观念或行为由于真实的或想像的群体的影响或压力，而向与多数人相一致的方向变化的现象。</w:t>
      </w:r>
    </w:p>
  </w:footnote>
  <w:footnote w:id="49">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ascii="宋体" w:hAnsi="宋体"/>
        </w:rPr>
        <w:t>2010</w:t>
      </w:r>
      <w:r>
        <w:rPr>
          <w:rFonts w:hint="eastAsia"/>
        </w:rPr>
        <w:t>年</w:t>
      </w:r>
      <w:r>
        <w:rPr>
          <w:rFonts w:ascii="宋体" w:hAnsi="宋体"/>
        </w:rPr>
        <w:t>10</w:t>
      </w:r>
      <w:r>
        <w:rPr>
          <w:rFonts w:hint="eastAsia" w:ascii="宋体" w:hAnsi="宋体"/>
        </w:rPr>
        <w:t>月</w:t>
      </w:r>
      <w:r>
        <w:rPr>
          <w:rFonts w:ascii="宋体" w:hAnsi="宋体"/>
        </w:rPr>
        <w:t>16</w:t>
      </w:r>
      <w:r>
        <w:rPr>
          <w:rFonts w:hint="eastAsia" w:ascii="宋体" w:hAnsi="宋体"/>
        </w:rPr>
        <w:t>日晚</w:t>
      </w:r>
      <w:r>
        <w:rPr>
          <w:rFonts w:ascii="宋体" w:hAnsi="宋体"/>
        </w:rPr>
        <w:t>9</w:t>
      </w:r>
      <w:r>
        <w:rPr>
          <w:rFonts w:hint="eastAsia" w:ascii="宋体" w:hAnsi="宋体"/>
        </w:rPr>
        <w:t>时</w:t>
      </w:r>
      <w:r>
        <w:rPr>
          <w:rFonts w:hint="eastAsia"/>
        </w:rPr>
        <w:t>许，李启铭在河北大学新校区生活区内醉酒驾车，将陈晓凤和张晶晶两名在校女生撞飞，导致张晶晶受伤，陈晓凤死亡。后被闻声赶来的保安和学生截获，在被拦截后，李启铭叫嚣道：“有本事你们去告我，我爸爸是李刚”。“我爸是李刚”迅速成为当时中国最火的流行语。</w:t>
      </w:r>
    </w:p>
  </w:footnote>
  <w:footnote w:id="50">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依靠吸引公众注意力获取经济收益的一种经济活动，在现代强大的媒体社会的推波助澜之下，眼球经济比以往任何一个时候都要活跃。</w:t>
      </w:r>
    </w:p>
  </w:footnote>
  <w:footnote w:id="51">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ascii="宋体" w:hAnsi="宋体"/>
        </w:rPr>
        <w:t xml:space="preserve"> 2006</w:t>
      </w:r>
      <w:r>
        <w:rPr>
          <w:rFonts w:hint="eastAsia" w:ascii="宋体" w:hAnsi="宋体"/>
        </w:rPr>
        <w:t>年</w:t>
      </w:r>
      <w:r>
        <w:rPr>
          <w:rFonts w:ascii="宋体" w:hAnsi="宋体"/>
        </w:rPr>
        <w:t>2</w:t>
      </w:r>
      <w:r>
        <w:rPr>
          <w:rFonts w:hint="eastAsia" w:ascii="宋体" w:hAnsi="宋体"/>
        </w:rPr>
        <w:t>月</w:t>
      </w:r>
      <w:r>
        <w:rPr>
          <w:rFonts w:hint="eastAsia"/>
        </w:rPr>
        <w:t>，一网友公布了一组虐猫视频截图，一名时髦女子用高跟鞋将小猫踩死。不久，有网友发出“宇宙通缉令”，不少网友悬赏捉拿“凶手”。很快，该女子虐猫地点和她的工作单位等信息曝光。事件的结果是，虐猫女被解除职务。</w:t>
      </w:r>
    </w:p>
  </w:footnote>
  <w:footnote w:id="52">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ascii="宋体" w:hAnsi="宋体"/>
        </w:rPr>
        <w:t>2014</w:t>
      </w:r>
      <w:r>
        <w:rPr>
          <w:rFonts w:hint="eastAsia" w:ascii="宋体" w:hAnsi="宋体"/>
        </w:rPr>
        <w:t>年《爸爸去哪儿</w:t>
      </w:r>
      <w:r>
        <w:rPr>
          <w:rFonts w:ascii="宋体" w:hAnsi="宋体"/>
        </w:rPr>
        <w:t>2</w:t>
      </w:r>
      <w:r>
        <w:rPr>
          <w:rFonts w:hint="eastAsia" w:ascii="宋体" w:hAnsi="宋体"/>
        </w:rPr>
        <w:t>》录制中费曼受伤贝儿被黑。费曼在新西兰录制节目时受伤缝针引发众多关注。对于费曼的受伤，有网友称是因为贝儿所致，并称节目组出于保护贝儿的目的没有说明真相。对此不实言论，护女心切的陆毅忍不住发飙，怒斥网络暴力：“为肮脏服务，为五毛折腰”，并直接表明贝儿与费曼受伤事件完全无关。</w:t>
      </w:r>
    </w:p>
  </w:footnote>
  <w:footnote w:id="53">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ascii="宋体" w:hAnsi="宋体"/>
        </w:rPr>
        <w:t xml:space="preserve"> 2015</w:t>
      </w:r>
      <w:r>
        <w:rPr>
          <w:rFonts w:hint="eastAsia" w:ascii="宋体" w:hAnsi="宋体"/>
        </w:rPr>
        <w:t>年</w:t>
      </w:r>
      <w:r>
        <w:rPr>
          <w:rFonts w:ascii="宋体" w:hAnsi="宋体"/>
        </w:rPr>
        <w:t>5</w:t>
      </w:r>
      <w:r>
        <w:rPr>
          <w:rFonts w:hint="eastAsia" w:ascii="宋体" w:hAnsi="宋体"/>
        </w:rPr>
        <w:t>月</w:t>
      </w:r>
      <w:r>
        <w:rPr>
          <w:rFonts w:ascii="宋体" w:hAnsi="宋体"/>
        </w:rPr>
        <w:t>3</w:t>
      </w:r>
      <w:r>
        <w:rPr>
          <w:rFonts w:hint="eastAsia" w:ascii="宋体" w:hAnsi="宋体"/>
        </w:rPr>
        <w:t>日下午，一段</w:t>
      </w:r>
      <w:r>
        <w:rPr>
          <w:rFonts w:ascii="宋体" w:hAnsi="宋体"/>
        </w:rPr>
        <w:t>35</w:t>
      </w:r>
      <w:r>
        <w:rPr>
          <w:rFonts w:hint="eastAsia" w:ascii="宋体" w:hAnsi="宋体"/>
        </w:rPr>
        <w:t>秒视频网上疯传：在成都市娇子立交处，一名男司机将一女司机逼停后当街殴打，</w:t>
      </w:r>
      <w:r>
        <w:rPr>
          <w:rFonts w:ascii="宋体" w:hAnsi="宋体"/>
        </w:rPr>
        <w:t>35</w:t>
      </w:r>
      <w:r>
        <w:rPr>
          <w:rFonts w:hint="eastAsia" w:ascii="宋体" w:hAnsi="宋体"/>
        </w:rPr>
        <w:t>秒内</w:t>
      </w:r>
      <w:r>
        <w:rPr>
          <w:rFonts w:ascii="宋体" w:hAnsi="宋体"/>
        </w:rPr>
        <w:t>4</w:t>
      </w:r>
      <w:r>
        <w:rPr>
          <w:rFonts w:hint="eastAsia" w:ascii="宋体" w:hAnsi="宋体"/>
        </w:rPr>
        <w:t>次踢中女司机脸部，</w:t>
      </w:r>
      <w:r>
        <w:rPr>
          <w:rFonts w:hint="eastAsia"/>
        </w:rPr>
        <w:t>整个过程触目惊心。事件曝光后，被打女司机受到网民广泛同情。然而，随着男司机张某行车记录视频的曝光，不少网友开始转而谴责女司机卢某的路霸行为。这种反感很快在网络上漫延，有网民开始在网上对卢某进行人肉，先后翻出了她的驾驶违章记录、身份信息、甚至是开房记录等等，事件再度扩大化，卢某家怀疑有人雇佣水军，侵犯了卢某的名誉，并提出要报警，就连病房也不准无关人员擅自进入。</w:t>
      </w:r>
    </w:p>
  </w:footnote>
  <w:footnote w:id="54">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ascii="宋体" w:hAnsi="宋体"/>
        </w:rPr>
        <w:t xml:space="preserve"> </w:t>
      </w:r>
      <w:r>
        <w:rPr>
          <w:rFonts w:hint="eastAsia" w:ascii="宋体" w:hAnsi="宋体"/>
        </w:rPr>
        <w:t>谢上</w:t>
      </w:r>
      <w:r>
        <w:rPr>
          <w:rFonts w:hint="eastAsia" w:ascii="宋体" w:hAnsi="宋体" w:cs="宋体"/>
        </w:rPr>
        <w:t>：</w:t>
      </w:r>
      <w:r>
        <w:rPr>
          <w:rFonts w:ascii="宋体" w:hAnsi="宋体" w:cs="宋体"/>
        </w:rPr>
        <w:t xml:space="preserve"> </w:t>
      </w:r>
      <w:r>
        <w:rPr>
          <w:rFonts w:hint="eastAsia" w:ascii="宋体" w:hAnsi="宋体" w:cs="宋体"/>
        </w:rPr>
        <w:t>《</w:t>
      </w:r>
      <w:r>
        <w:rPr>
          <w:rFonts w:hint="eastAsia" w:ascii="宋体" w:hAnsi="宋体"/>
        </w:rPr>
        <w:t>“网络暴力”的法律规制</w:t>
      </w:r>
      <w:r>
        <w:rPr>
          <w:rFonts w:hint="eastAsia" w:ascii="宋体" w:hAnsi="宋体" w:cs="宋体"/>
        </w:rPr>
        <w:t>》</w:t>
      </w:r>
      <w:r>
        <w:rPr>
          <w:rFonts w:ascii="宋体" w:hAnsi="宋体" w:cs="宋体"/>
        </w:rPr>
        <w:t xml:space="preserve"> </w:t>
      </w:r>
      <w:r>
        <w:rPr>
          <w:rFonts w:hint="eastAsia" w:ascii="宋体" w:hAnsi="宋体" w:cs="宋体"/>
        </w:rPr>
        <w:t>，载《</w:t>
      </w:r>
      <w:r>
        <w:rPr>
          <w:rFonts w:hint="eastAsia" w:ascii="宋体" w:hAnsi="宋体"/>
        </w:rPr>
        <w:t>法制博览》</w:t>
      </w:r>
      <w:r>
        <w:rPr>
          <w:rFonts w:ascii="宋体" w:hAnsi="宋体"/>
        </w:rPr>
        <w:t>2015</w:t>
      </w:r>
      <w:r>
        <w:rPr>
          <w:rFonts w:hint="eastAsia" w:ascii="宋体" w:hAnsi="宋体"/>
        </w:rPr>
        <w:t>年第</w:t>
      </w:r>
      <w:r>
        <w:rPr>
          <w:rFonts w:ascii="宋体" w:hAnsi="宋体"/>
        </w:rPr>
        <w:t>6</w:t>
      </w:r>
      <w:r>
        <w:rPr>
          <w:rFonts w:hint="eastAsia" w:ascii="宋体" w:hAnsi="宋体"/>
        </w:rPr>
        <w:t>期，第</w:t>
      </w:r>
      <w:r>
        <w:rPr>
          <w:rFonts w:ascii="宋体" w:hAnsi="宋体"/>
        </w:rPr>
        <w:t>38</w:t>
      </w:r>
      <w:r>
        <w:rPr>
          <w:rFonts w:hint="eastAsia" w:ascii="宋体" w:hAnsi="宋体"/>
        </w:rPr>
        <w:t>至</w:t>
      </w:r>
      <w:r>
        <w:rPr>
          <w:rFonts w:ascii="宋体" w:hAnsi="宋体"/>
        </w:rPr>
        <w:t>39</w:t>
      </w:r>
      <w:r>
        <w:rPr>
          <w:rFonts w:hint="eastAsia" w:ascii="宋体" w:hAnsi="宋体"/>
        </w:rPr>
        <w:t>页。</w:t>
      </w:r>
    </w:p>
  </w:footnote>
  <w:footnote w:id="55">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ascii="宋体" w:hAnsi="宋体"/>
        </w:rPr>
        <w:t xml:space="preserve"> 2014</w:t>
      </w:r>
      <w:r>
        <w:rPr>
          <w:rFonts w:hint="eastAsia" w:ascii="宋体" w:hAnsi="宋体"/>
        </w:rPr>
        <w:t>年涉嫌传播康师傅“越南地沟油”谣言被起诉的“营口自媒体”负责人董某向新京报记者透露，借助企业投放广告仍是主要盈利模式，并已有手表、面膜等企业主动找上门，广告投放价格一般是</w:t>
      </w:r>
      <w:r>
        <w:rPr>
          <w:rFonts w:ascii="宋体" w:hAnsi="宋体"/>
        </w:rPr>
        <w:t>150</w:t>
      </w:r>
      <w:r>
        <w:rPr>
          <w:rFonts w:hint="eastAsia" w:ascii="宋体" w:hAnsi="宋体"/>
        </w:rPr>
        <w:t>～</w:t>
      </w:r>
      <w:r>
        <w:rPr>
          <w:rFonts w:ascii="宋体" w:hAnsi="宋体"/>
        </w:rPr>
        <w:t>300</w:t>
      </w:r>
      <w:r>
        <w:rPr>
          <w:rFonts w:hint="eastAsia" w:ascii="宋体" w:hAnsi="宋体"/>
        </w:rPr>
        <w:t>元</w:t>
      </w:r>
      <w:r>
        <w:rPr>
          <w:rFonts w:ascii="宋体" w:hAnsi="宋体"/>
        </w:rPr>
        <w:t>/1</w:t>
      </w:r>
      <w:r>
        <w:rPr>
          <w:rFonts w:hint="eastAsia" w:ascii="宋体" w:hAnsi="宋体"/>
        </w:rPr>
        <w:t>万粉丝左右。“营口自媒体”粉丝数达到</w:t>
      </w:r>
      <w:r>
        <w:rPr>
          <w:rFonts w:ascii="宋体" w:hAnsi="宋体"/>
        </w:rPr>
        <w:t>8</w:t>
      </w:r>
      <w:r>
        <w:rPr>
          <w:rFonts w:hint="eastAsia" w:ascii="宋体" w:hAnsi="宋体"/>
        </w:rPr>
        <w:t>万多，其公众号头条植入广告报价是</w:t>
      </w:r>
      <w:r>
        <w:rPr>
          <w:rFonts w:ascii="宋体" w:hAnsi="宋体"/>
        </w:rPr>
        <w:t>2000</w:t>
      </w:r>
      <w:r>
        <w:rPr>
          <w:rFonts w:hint="eastAsia" w:ascii="宋体" w:hAnsi="宋体"/>
        </w:rPr>
        <w:t>左右，“部分达到</w:t>
      </w:r>
      <w:r>
        <w:rPr>
          <w:rFonts w:ascii="宋体" w:hAnsi="宋体"/>
        </w:rPr>
        <w:t>10</w:t>
      </w:r>
      <w:r>
        <w:rPr>
          <w:rFonts w:hint="eastAsia" w:ascii="宋体" w:hAnsi="宋体"/>
        </w:rPr>
        <w:t>万粉丝的公众号，广告价格是</w:t>
      </w:r>
      <w:r>
        <w:rPr>
          <w:rFonts w:ascii="宋体" w:hAnsi="宋体"/>
        </w:rPr>
        <w:t>3000</w:t>
      </w:r>
      <w:r>
        <w:rPr>
          <w:rFonts w:hint="eastAsia" w:ascii="宋体" w:hAnsi="宋体"/>
        </w:rPr>
        <w:t>元左右</w:t>
      </w:r>
      <w:r>
        <w:rPr>
          <w:rFonts w:ascii="宋体" w:hAnsi="宋体"/>
        </w:rPr>
        <w:t>/</w:t>
      </w:r>
      <w:r>
        <w:rPr>
          <w:rFonts w:hint="eastAsia" w:ascii="宋体" w:hAnsi="宋体"/>
        </w:rPr>
        <w:t>条。</w:t>
      </w:r>
      <w:r>
        <w:rPr>
          <w:rFonts w:hint="eastAsia"/>
        </w:rPr>
        <w:t>”</w:t>
      </w:r>
    </w:p>
  </w:footnote>
  <w:footnote w:id="56">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ascii="宋体" w:hAnsi="宋体"/>
        </w:rPr>
        <w:t xml:space="preserve"> 2011</w:t>
      </w:r>
      <w:r>
        <w:rPr>
          <w:rFonts w:hint="eastAsia" w:ascii="宋体" w:hAnsi="宋体"/>
        </w:rPr>
        <w:t>年</w:t>
      </w:r>
      <w:r>
        <w:rPr>
          <w:rFonts w:ascii="宋体" w:hAnsi="宋体"/>
        </w:rPr>
        <w:t>5</w:t>
      </w:r>
      <w:r>
        <w:rPr>
          <w:rFonts w:hint="eastAsia" w:ascii="宋体" w:hAnsi="宋体"/>
        </w:rPr>
        <w:t>月华中师大彭晓辉副教授在南师大做了一场名为</w:t>
      </w:r>
      <w:r>
        <w:rPr>
          <w:rFonts w:hint="eastAsia" w:ascii="宋体"/>
        </w:rPr>
        <w:t>“</w:t>
      </w:r>
      <w:r>
        <w:rPr>
          <w:rFonts w:hint="eastAsia" w:ascii="宋体" w:hAnsi="宋体"/>
        </w:rPr>
        <w:t>性与人际交往</w:t>
      </w:r>
      <w:r>
        <w:rPr>
          <w:rFonts w:hint="eastAsia" w:ascii="宋体"/>
        </w:rPr>
        <w:t>”</w:t>
      </w:r>
      <w:r>
        <w:rPr>
          <w:rFonts w:hint="eastAsia" w:ascii="宋体" w:hAnsi="宋体"/>
        </w:rPr>
        <w:t>的讲座，当晚的媒体报道称，彭教授抛出多个前卫的性学观点，数次挑战传统性观念底线。而他的</w:t>
      </w:r>
      <w:r>
        <w:rPr>
          <w:rFonts w:hint="eastAsia" w:ascii="宋体"/>
        </w:rPr>
        <w:t>“</w:t>
      </w:r>
      <w:r>
        <w:rPr>
          <w:rFonts w:hint="eastAsia" w:ascii="宋体" w:hAnsi="宋体"/>
        </w:rPr>
        <w:t>遭遇性侵犯女性应主动递上避孕套</w:t>
      </w:r>
      <w:r>
        <w:rPr>
          <w:rFonts w:hint="eastAsia" w:ascii="宋体"/>
        </w:rPr>
        <w:t>”</w:t>
      </w:r>
      <w:r>
        <w:rPr>
          <w:rFonts w:hint="eastAsia" w:ascii="宋体" w:hAnsi="宋体"/>
        </w:rPr>
        <w:t>这一观点，更是当堂激起一名男生的强烈反驳，双方展开激烈的</w:t>
      </w:r>
      <w:r>
        <w:rPr>
          <w:rFonts w:hint="eastAsia" w:ascii="宋体"/>
        </w:rPr>
        <w:t>“</w:t>
      </w:r>
      <w:r>
        <w:rPr>
          <w:rFonts w:hint="eastAsia" w:ascii="宋体" w:hAnsi="宋体"/>
        </w:rPr>
        <w:t>唇舌之战</w:t>
      </w:r>
      <w:r>
        <w:rPr>
          <w:rFonts w:hint="eastAsia" w:ascii="宋体"/>
        </w:rPr>
        <w:t>”</w:t>
      </w:r>
      <w:r>
        <w:rPr>
          <w:rFonts w:hint="eastAsia" w:ascii="宋体" w:hAnsi="宋体"/>
        </w:rPr>
        <w:t>。而后彭教授再其博客中申明报道歪曲了其当天在南师大讲座的主旨。</w:t>
      </w:r>
    </w:p>
  </w:footnote>
  <w:footnote w:id="57">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ascii="宋体" w:hAnsi="宋体"/>
        </w:rPr>
        <w:t>吉林女子于秋红，</w:t>
      </w:r>
      <w:r>
        <w:rPr>
          <w:rFonts w:ascii="宋体" w:hAnsi="宋体"/>
        </w:rPr>
        <w:t>2015</w:t>
      </w:r>
      <w:r>
        <w:rPr>
          <w:rFonts w:hint="eastAsia" w:ascii="宋体" w:hAnsi="宋体"/>
        </w:rPr>
        <w:t>年</w:t>
      </w:r>
      <w:r>
        <w:rPr>
          <w:rFonts w:ascii="宋体" w:hAnsi="宋体"/>
        </w:rPr>
        <w:t>1</w:t>
      </w:r>
      <w:r>
        <w:rPr>
          <w:rFonts w:hint="eastAsia" w:ascii="宋体" w:hAnsi="宋体"/>
        </w:rPr>
        <w:t>月在腾讯微博发布了“娃哈哈</w:t>
      </w:r>
      <w:r>
        <w:rPr>
          <w:rFonts w:ascii="宋体" w:hAnsi="宋体"/>
        </w:rPr>
        <w:t>AD</w:t>
      </w:r>
      <w:r>
        <w:rPr>
          <w:rFonts w:hint="eastAsia" w:ascii="宋体" w:hAnsi="宋体"/>
        </w:rPr>
        <w:t>钙奶、爽歪歪都含有肉毒杆菌”的文章。</w:t>
      </w:r>
      <w:r>
        <w:rPr>
          <w:rFonts w:ascii="宋体" w:hAnsi="宋体"/>
        </w:rPr>
        <w:t>4</w:t>
      </w:r>
      <w:r>
        <w:rPr>
          <w:rFonts w:hint="eastAsia" w:ascii="宋体" w:hAnsi="宋体"/>
        </w:rPr>
        <w:t>月</w:t>
      </w:r>
      <w:r>
        <w:rPr>
          <w:rFonts w:ascii="宋体" w:hAnsi="宋体"/>
        </w:rPr>
        <w:t>10</w:t>
      </w:r>
      <w:r>
        <w:rPr>
          <w:rFonts w:hint="eastAsia" w:ascii="宋体" w:hAnsi="宋体"/>
        </w:rPr>
        <w:t>日，武汉鑫众昌商贸有限公司通过“嘟嘟童年”公号发布《幼儿园老师刚发的啊！做妈妈的都转过去，看好自己的宝宝》，称娃哈哈“含有肉毒杆菌”。同天，广州魔斯网络科技有限公司通过“微狮岭”公众号发布《狮岭得白血病的小孩越来越多，原因竟如此惊人》一文，声称“喝娃哈哈饮料会导致白血病。”</w:t>
      </w:r>
    </w:p>
  </w:footnote>
  <w:footnote w:id="58">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邓玉娇案中，网民一边倒地支持代表弱势群体的邓玉娇，批评代表官员的邓贵大，给当地法院施加了很大压力，最终使邓玉娇从“故意杀人罪”被改判为“防卫过当”，并免于刑事处罚。</w:t>
      </w:r>
    </w:p>
  </w:footnote>
  <w:footnote w:id="59">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例如“毕福剑”、“新疆籍艾滋病人通过滴血食物传播病毒”等事件</w:t>
      </w:r>
    </w:p>
  </w:footnote>
  <w:footnote w:id="60">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例如互联网中各式淫秽色情网站的开设。</w:t>
      </w:r>
    </w:p>
  </w:footnote>
  <w:footnote w:id="61">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部分利益集团为舆论事件更夺人眼球，故意将淫秽色情的内容进行细节性的描述。</w:t>
      </w:r>
    </w:p>
  </w:footnote>
  <w:footnote w:id="62">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ascii="宋体" w:hAnsi="宋体"/>
        </w:rPr>
        <w:t>2008</w:t>
      </w:r>
      <w:r>
        <w:rPr>
          <w:rFonts w:hint="eastAsia" w:ascii="宋体" w:hAnsi="宋体"/>
        </w:rPr>
        <w:t>年香港明星陈冠希“艳照门”事件以及各类涉黄、出轨小三等裸照的公开。</w:t>
      </w:r>
    </w:p>
  </w:footnote>
  <w:footnote w:id="63">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孙昌军、郑远民、易志斌：《网络安全法》，湖南大学出</w:t>
      </w:r>
      <w:r>
        <w:rPr>
          <w:rFonts w:hint="eastAsia" w:ascii="宋体" w:hAnsi="宋体"/>
        </w:rPr>
        <w:t>版社</w:t>
      </w:r>
      <w:r>
        <w:rPr>
          <w:rFonts w:ascii="宋体" w:hAnsi="宋体"/>
        </w:rPr>
        <w:t>2002</w:t>
      </w:r>
      <w:r>
        <w:rPr>
          <w:rFonts w:hint="eastAsia" w:ascii="宋体" w:hAnsi="宋体"/>
        </w:rPr>
        <w:t>年版，第</w:t>
      </w:r>
      <w:r>
        <w:rPr>
          <w:rFonts w:ascii="宋体" w:hAnsi="宋体"/>
        </w:rPr>
        <w:t>67</w:t>
      </w:r>
      <w:r>
        <w:rPr>
          <w:rFonts w:hint="eastAsia" w:ascii="宋体" w:hAnsi="宋体"/>
        </w:rPr>
        <w:t>至</w:t>
      </w:r>
      <w:r>
        <w:rPr>
          <w:rFonts w:ascii="宋体" w:hAnsi="宋体"/>
        </w:rPr>
        <w:t>68</w:t>
      </w:r>
      <w:r>
        <w:rPr>
          <w:rFonts w:hint="eastAsia" w:ascii="宋体" w:hAnsi="宋体"/>
        </w:rPr>
        <w:t>页。</w:t>
      </w:r>
    </w:p>
  </w:footnote>
  <w:footnote w:id="64">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陈栩然：《网络暴力的行政法规制》，</w:t>
      </w:r>
      <w:r>
        <w:t xml:space="preserve"> </w:t>
      </w:r>
      <w:r>
        <w:rPr>
          <w:rFonts w:hint="eastAsia"/>
        </w:rPr>
        <w:t>载《网络安全技术与应用》</w:t>
      </w:r>
      <w:r>
        <w:rPr>
          <w:rFonts w:ascii="宋体" w:hAnsi="宋体"/>
        </w:rPr>
        <w:t>2015</w:t>
      </w:r>
      <w:r>
        <w:rPr>
          <w:rFonts w:hint="eastAsia" w:ascii="宋体" w:hAnsi="宋体"/>
        </w:rPr>
        <w:t>年第</w:t>
      </w:r>
      <w:r>
        <w:rPr>
          <w:rFonts w:ascii="宋体" w:hAnsi="宋体"/>
        </w:rPr>
        <w:t>7</w:t>
      </w:r>
      <w:r>
        <w:rPr>
          <w:rFonts w:hint="eastAsia" w:ascii="宋体" w:hAnsi="宋体"/>
        </w:rPr>
        <w:t>期，第</w:t>
      </w:r>
      <w:r>
        <w:rPr>
          <w:rFonts w:ascii="宋体" w:hAnsi="宋体"/>
        </w:rPr>
        <w:t>104</w:t>
      </w:r>
      <w:r>
        <w:rPr>
          <w:rFonts w:hint="eastAsia" w:ascii="宋体" w:hAnsi="宋体"/>
        </w:rPr>
        <w:t>至</w:t>
      </w:r>
      <w:r>
        <w:rPr>
          <w:rFonts w:ascii="宋体" w:hAnsi="宋体"/>
        </w:rPr>
        <w:t>106</w:t>
      </w:r>
      <w:r>
        <w:rPr>
          <w:rFonts w:hint="eastAsia" w:ascii="宋体" w:hAnsi="宋体"/>
        </w:rPr>
        <w:t>页</w:t>
      </w:r>
      <w:r>
        <w:rPr>
          <w:rFonts w:hint="eastAsia"/>
        </w:rPr>
        <w:t>。</w:t>
      </w:r>
    </w:p>
  </w:footnote>
  <w:footnote w:id="65">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关保英主编：《行政法学》，法</w:t>
      </w:r>
      <w:r>
        <w:rPr>
          <w:rFonts w:hint="eastAsia" w:ascii="宋体" w:hAnsi="宋体"/>
        </w:rPr>
        <w:t>律出版社</w:t>
      </w:r>
      <w:r>
        <w:rPr>
          <w:rFonts w:ascii="宋体" w:hAnsi="宋体"/>
        </w:rPr>
        <w:t>2013</w:t>
      </w:r>
      <w:r>
        <w:rPr>
          <w:rFonts w:hint="eastAsia" w:ascii="宋体" w:hAnsi="宋体"/>
        </w:rPr>
        <w:t>年版，第</w:t>
      </w:r>
      <w:r>
        <w:rPr>
          <w:rFonts w:ascii="宋体" w:hAnsi="宋体"/>
        </w:rPr>
        <w:t>167</w:t>
      </w:r>
      <w:r>
        <w:rPr>
          <w:rFonts w:hint="eastAsia" w:ascii="宋体" w:hAnsi="宋体"/>
        </w:rPr>
        <w:t>页。</w:t>
      </w:r>
    </w:p>
  </w:footnote>
  <w:footnote w:id="66">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杨福忠：《论我国规制网络言论立法之完善》</w:t>
      </w:r>
      <w:r>
        <w:t xml:space="preserve"> </w:t>
      </w:r>
      <w:r>
        <w:rPr>
          <w:rFonts w:hint="eastAsia"/>
        </w:rPr>
        <w:t>，《</w:t>
      </w:r>
      <w:r>
        <w:rPr>
          <w:rFonts w:hint="eastAsia" w:ascii="宋体" w:hAnsi="宋体"/>
        </w:rPr>
        <w:t>北方法学》</w:t>
      </w:r>
      <w:r>
        <w:rPr>
          <w:rFonts w:ascii="宋体" w:hAnsi="宋体"/>
        </w:rPr>
        <w:t>2013</w:t>
      </w:r>
      <w:r>
        <w:rPr>
          <w:rFonts w:hint="eastAsia" w:ascii="宋体" w:hAnsi="宋体"/>
        </w:rPr>
        <w:t>年第</w:t>
      </w:r>
      <w:r>
        <w:rPr>
          <w:rFonts w:ascii="宋体" w:hAnsi="宋体"/>
        </w:rPr>
        <w:t>2</w:t>
      </w:r>
      <w:r>
        <w:rPr>
          <w:rFonts w:hint="eastAsia" w:ascii="宋体" w:hAnsi="宋体"/>
        </w:rPr>
        <w:t>期，第</w:t>
      </w:r>
      <w:r>
        <w:rPr>
          <w:rFonts w:ascii="宋体" w:hAnsi="宋体"/>
        </w:rPr>
        <w:t>73</w:t>
      </w:r>
      <w:r>
        <w:rPr>
          <w:rFonts w:hint="eastAsia" w:ascii="宋体" w:hAnsi="宋体"/>
        </w:rPr>
        <w:t>至</w:t>
      </w:r>
      <w:r>
        <w:rPr>
          <w:rFonts w:ascii="宋体" w:hAnsi="宋体"/>
        </w:rPr>
        <w:t>74</w:t>
      </w:r>
      <w:r>
        <w:rPr>
          <w:rFonts w:hint="eastAsia" w:ascii="宋体" w:hAnsi="宋体"/>
        </w:rPr>
        <w:t>页。</w:t>
      </w:r>
    </w:p>
  </w:footnote>
  <w:footnote w:id="67">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袁建辉</w:t>
      </w:r>
      <w:r>
        <w:rPr>
          <w:rFonts w:hint="eastAsia"/>
          <w:lang w:eastAsia="zh-CN"/>
        </w:rPr>
        <w:t>：</w:t>
      </w:r>
      <w:r>
        <w:rPr>
          <w:rFonts w:hint="eastAsia"/>
        </w:rPr>
        <w:t>《法律规制视角下的网络舆论研究》</w:t>
      </w:r>
      <w:r>
        <w:t xml:space="preserve"> </w:t>
      </w:r>
      <w:r>
        <w:rPr>
          <w:rFonts w:hint="eastAsia"/>
        </w:rPr>
        <w:t>，西南</w:t>
      </w:r>
      <w:r>
        <w:rPr>
          <w:rFonts w:hint="eastAsia" w:ascii="宋体" w:hAnsi="宋体"/>
        </w:rPr>
        <w:t>政法大学</w:t>
      </w:r>
      <w:r>
        <w:rPr>
          <w:rFonts w:ascii="宋体" w:hAnsi="宋体"/>
        </w:rPr>
        <w:t>2010</w:t>
      </w:r>
      <w:r>
        <w:rPr>
          <w:rFonts w:hint="eastAsia" w:ascii="宋体" w:hAnsi="宋体"/>
        </w:rPr>
        <w:t>卷。</w:t>
      </w:r>
    </w:p>
  </w:footnote>
  <w:footnote w:id="68">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ascii="宋体" w:hAnsi="宋体"/>
        </w:rPr>
        <w:t>孙万怀、卢恒飞：</w:t>
      </w:r>
      <w:r>
        <w:rPr>
          <w:rFonts w:ascii="宋体" w:hAnsi="宋体"/>
        </w:rPr>
        <w:t xml:space="preserve"> </w:t>
      </w:r>
      <w:r>
        <w:rPr>
          <w:rFonts w:hint="eastAsia" w:ascii="宋体" w:hAnsi="宋体"/>
        </w:rPr>
        <w:t>《刑法应当理性应对网络谣言</w:t>
      </w:r>
      <w:r>
        <w:rPr>
          <w:rFonts w:ascii="宋体" w:hAnsi="宋体"/>
        </w:rPr>
        <w:t>———</w:t>
      </w:r>
      <w:r>
        <w:rPr>
          <w:rFonts w:hint="eastAsia" w:ascii="宋体" w:hAnsi="宋体"/>
        </w:rPr>
        <w:t>对网络造谣司法解释的实证评估》</w:t>
      </w:r>
      <w:r>
        <w:rPr>
          <w:rFonts w:ascii="宋体" w:hAnsi="宋体"/>
        </w:rPr>
        <w:t xml:space="preserve"> </w:t>
      </w:r>
      <w:r>
        <w:rPr>
          <w:rFonts w:hint="eastAsia" w:ascii="宋体" w:hAnsi="宋体"/>
        </w:rPr>
        <w:t>，载《法学》</w:t>
      </w:r>
      <w:r>
        <w:rPr>
          <w:rFonts w:ascii="宋体" w:hAnsi="宋体"/>
        </w:rPr>
        <w:t xml:space="preserve">2013 </w:t>
      </w:r>
      <w:r>
        <w:rPr>
          <w:rFonts w:hint="eastAsia" w:ascii="宋体" w:hAnsi="宋体"/>
        </w:rPr>
        <w:t>年第</w:t>
      </w:r>
      <w:r>
        <w:rPr>
          <w:rFonts w:ascii="宋体" w:hAnsi="宋体"/>
        </w:rPr>
        <w:t>11</w:t>
      </w:r>
      <w:r>
        <w:rPr>
          <w:rFonts w:hint="eastAsia" w:ascii="宋体" w:hAnsi="宋体"/>
        </w:rPr>
        <w:t>期。</w:t>
      </w:r>
    </w:p>
  </w:footnote>
  <w:footnote w:id="69">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《互联网信息服务管理办法》第十八条规定</w:t>
      </w:r>
      <w:r>
        <w:t>:</w:t>
      </w:r>
      <w:r>
        <w:rPr>
          <w:rFonts w:hint="eastAsia"/>
        </w:rPr>
        <w:t>“国务院信息产业主管部门和省、自治区、直辖市电信管理机构</w:t>
      </w:r>
      <w:r>
        <w:t>,</w:t>
      </w:r>
      <w:r>
        <w:rPr>
          <w:rFonts w:hint="eastAsia"/>
        </w:rPr>
        <w:t>依法对互联网信息服务实施监督管理。新闻、出版、教育、卫生、药品监督管理、工商政管理和公安、国家安全等有关主管部门</w:t>
      </w:r>
      <w:r>
        <w:t>,</w:t>
      </w:r>
      <w:r>
        <w:rPr>
          <w:rFonts w:hint="eastAsia"/>
        </w:rPr>
        <w:t>在各自职责范围内依法对互联网信息内容实施监督管理。”</w:t>
      </w:r>
    </w:p>
  </w:footnote>
  <w:footnote w:id="70">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周静</w:t>
      </w:r>
      <w:r>
        <w:rPr>
          <w:rFonts w:hint="eastAsia" w:ascii="宋体" w:hAnsi="宋体" w:cs="宋体"/>
        </w:rPr>
        <w:t>：《</w:t>
      </w:r>
      <w:r>
        <w:rPr>
          <w:rFonts w:hint="eastAsia"/>
        </w:rPr>
        <w:t>论网络言论的法律规制</w:t>
      </w:r>
      <w:r>
        <w:rPr>
          <w:rFonts w:hint="eastAsia" w:ascii="宋体" w:hAnsi="宋体" w:cs="宋体"/>
        </w:rPr>
        <w:t>》，</w:t>
      </w:r>
      <w:r>
        <w:rPr>
          <w:rFonts w:hint="eastAsia" w:ascii="宋体" w:hAnsi="宋体"/>
        </w:rPr>
        <w:t>郑州大学</w:t>
      </w:r>
      <w:r>
        <w:rPr>
          <w:rFonts w:ascii="宋体" w:hAnsi="宋体"/>
        </w:rPr>
        <w:t>2015</w:t>
      </w:r>
      <w:r>
        <w:rPr>
          <w:rFonts w:hint="eastAsia" w:ascii="宋体" w:hAnsi="宋体"/>
        </w:rPr>
        <w:t>卷。</w:t>
      </w:r>
    </w:p>
  </w:footnote>
  <w:footnote w:id="71">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李璐</w:t>
      </w:r>
      <w:r>
        <w:rPr>
          <w:rFonts w:hint="eastAsia" w:ascii="宋体" w:hAnsi="宋体" w:cs="宋体"/>
        </w:rPr>
        <w:t>：《</w:t>
      </w:r>
      <w:r>
        <w:rPr>
          <w:rFonts w:hint="eastAsia"/>
        </w:rPr>
        <w:t>网络舆论的行政法规制研究</w:t>
      </w:r>
      <w:r>
        <w:rPr>
          <w:rFonts w:hint="eastAsia"/>
          <w:lang w:eastAsia="zh-CN"/>
        </w:rPr>
        <w:t>》</w:t>
      </w:r>
      <w:r>
        <w:rPr>
          <w:rFonts w:hint="eastAsia" w:ascii="宋体" w:hAnsi="宋体" w:cs="宋体"/>
        </w:rPr>
        <w:t>，</w:t>
      </w:r>
      <w:r>
        <w:rPr>
          <w:rFonts w:hint="eastAsia"/>
        </w:rPr>
        <w:t>广东外语外贸大学</w:t>
      </w:r>
      <w:r>
        <w:rPr>
          <w:rFonts w:ascii="宋体" w:hAnsi="宋体"/>
        </w:rPr>
        <w:t>2014</w:t>
      </w:r>
      <w:r>
        <w:rPr>
          <w:rFonts w:hint="eastAsia" w:ascii="宋体" w:hAnsi="宋体"/>
        </w:rPr>
        <w:t>卷。</w:t>
      </w:r>
    </w:p>
  </w:footnote>
  <w:footnote w:id="72">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ascii="Times New Roman" w:hAnsi="Times New Roman"/>
        </w:rPr>
        <w:t xml:space="preserve"> </w:t>
      </w:r>
      <w:r>
        <w:rPr>
          <w:rFonts w:ascii="宋体" w:hAnsi="宋体" w:cs="宋体"/>
        </w:rPr>
        <w:t>[</w:t>
      </w:r>
      <w:r>
        <w:rPr>
          <w:rFonts w:hint="eastAsia" w:ascii="宋体" w:hAnsi="宋体" w:cs="宋体"/>
        </w:rPr>
        <w:t>德</w:t>
      </w:r>
      <w:r>
        <w:rPr>
          <w:rFonts w:ascii="宋体" w:hAnsi="宋体" w:cs="宋体"/>
        </w:rPr>
        <w:t>]</w:t>
      </w:r>
      <w:r>
        <w:rPr>
          <w:rFonts w:hint="eastAsia"/>
        </w:rPr>
        <w:t>奥托·迈耶：《德国行政法》</w:t>
      </w:r>
      <w:r>
        <w:rPr>
          <w:rFonts w:hint="eastAsia" w:ascii="宋体" w:hAnsi="宋体"/>
        </w:rPr>
        <w:t>，刘飞译，商务印书馆</w:t>
      </w:r>
      <w:r>
        <w:rPr>
          <w:rFonts w:ascii="宋体" w:hAnsi="宋体"/>
        </w:rPr>
        <w:t>2013</w:t>
      </w:r>
      <w:r>
        <w:rPr>
          <w:rFonts w:hint="eastAsia" w:ascii="宋体" w:hAnsi="宋体"/>
        </w:rPr>
        <w:t>年</w:t>
      </w:r>
      <w:r>
        <w:rPr>
          <w:rFonts w:ascii="宋体" w:hAnsi="宋体"/>
        </w:rPr>
        <w:t>2</w:t>
      </w:r>
      <w:r>
        <w:rPr>
          <w:rFonts w:hint="eastAsia" w:ascii="宋体" w:hAnsi="宋体"/>
        </w:rPr>
        <w:t>月第</w:t>
      </w:r>
      <w:r>
        <w:rPr>
          <w:rFonts w:ascii="宋体" w:hAnsi="宋体"/>
        </w:rPr>
        <w:t>1</w:t>
      </w:r>
      <w:r>
        <w:rPr>
          <w:rFonts w:hint="eastAsia" w:ascii="宋体" w:hAnsi="宋体"/>
        </w:rPr>
        <w:t>版，第</w:t>
      </w:r>
      <w:r>
        <w:rPr>
          <w:rFonts w:ascii="宋体" w:hAnsi="宋体"/>
        </w:rPr>
        <w:t>8</w:t>
      </w:r>
      <w:r>
        <w:rPr>
          <w:rFonts w:hint="eastAsia" w:ascii="宋体" w:hAnsi="宋体"/>
        </w:rPr>
        <w:t>页。</w:t>
      </w:r>
    </w:p>
  </w:footnote>
  <w:footnote w:id="73">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t>张新宇</w:t>
      </w:r>
      <w:r>
        <w:rPr>
          <w:rFonts w:hint="eastAsia" w:ascii="宋体" w:hAnsi="宋体" w:cs="宋体"/>
        </w:rPr>
        <w:t>：《</w:t>
      </w:r>
      <w:r>
        <w:rPr>
          <w:rFonts w:hint="eastAsia"/>
        </w:rPr>
        <w:t>论网络谣言的行政规制</w:t>
      </w:r>
      <w:r>
        <w:rPr>
          <w:rFonts w:hint="eastAsia"/>
          <w:lang w:eastAsia="zh-CN"/>
        </w:rPr>
        <w:t>》</w:t>
      </w:r>
      <w:r>
        <w:rPr>
          <w:rFonts w:hint="eastAsia"/>
        </w:rPr>
        <w:t>，载</w:t>
      </w:r>
      <w:r>
        <w:rPr>
          <w:rFonts w:hint="eastAsia" w:ascii="宋体" w:hAnsi="宋体"/>
        </w:rPr>
        <w:t>《社会科学战线》</w:t>
      </w:r>
      <w:r>
        <w:rPr>
          <w:rFonts w:ascii="宋体" w:hAnsi="宋体"/>
        </w:rPr>
        <w:t>2015</w:t>
      </w:r>
      <w:r>
        <w:rPr>
          <w:rFonts w:hint="eastAsia" w:ascii="宋体" w:hAnsi="宋体"/>
        </w:rPr>
        <w:t>年第</w:t>
      </w:r>
      <w:r>
        <w:rPr>
          <w:rFonts w:ascii="宋体" w:hAnsi="宋体"/>
        </w:rPr>
        <w:t>6</w:t>
      </w:r>
      <w:r>
        <w:rPr>
          <w:rFonts w:hint="eastAsia" w:ascii="宋体" w:hAnsi="宋体"/>
        </w:rPr>
        <w:t>期，第</w:t>
      </w:r>
      <w:r>
        <w:rPr>
          <w:rFonts w:ascii="宋体" w:hAnsi="宋体"/>
        </w:rPr>
        <w:t>270</w:t>
      </w:r>
      <w:r>
        <w:rPr>
          <w:rFonts w:hint="eastAsia" w:ascii="宋体" w:hAnsi="宋体"/>
        </w:rPr>
        <w:t>至</w:t>
      </w:r>
      <w:r>
        <w:rPr>
          <w:rFonts w:ascii="宋体" w:hAnsi="宋体"/>
        </w:rPr>
        <w:t>273</w:t>
      </w:r>
      <w:r>
        <w:rPr>
          <w:rFonts w:hint="eastAsia" w:ascii="宋体" w:hAnsi="宋体"/>
        </w:rPr>
        <w:t>页。</w:t>
      </w:r>
    </w:p>
  </w:footnote>
  <w:footnote w:id="74">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ascii="Times New Roman" w:hAnsi="Times New Roman"/>
        </w:rPr>
        <w:t xml:space="preserve"> </w:t>
      </w:r>
      <w:r>
        <w:rPr>
          <w:rFonts w:ascii="宋体" w:hAnsi="宋体" w:cs="宋体"/>
        </w:rPr>
        <w:t>[</w:t>
      </w:r>
      <w:r>
        <w:rPr>
          <w:rFonts w:hint="eastAsia" w:ascii="宋体" w:hAnsi="宋体" w:cs="宋体"/>
        </w:rPr>
        <w:t>美</w:t>
      </w:r>
      <w:r>
        <w:rPr>
          <w:rFonts w:ascii="宋体" w:hAnsi="宋体" w:cs="宋体"/>
        </w:rPr>
        <w:t>]</w:t>
      </w:r>
      <w:r>
        <w:rPr>
          <w:rFonts w:ascii="宋体" w:hAnsi="宋体"/>
        </w:rPr>
        <w:t>E.</w:t>
      </w:r>
      <w:r>
        <w:rPr>
          <w:rFonts w:hint="eastAsia" w:ascii="宋体" w:hAnsi="宋体"/>
        </w:rPr>
        <w:t>博登海</w:t>
      </w:r>
      <w:r>
        <w:rPr>
          <w:rFonts w:hint="eastAsia"/>
        </w:rPr>
        <w:t>默：《法理学</w:t>
      </w:r>
      <w:r>
        <w:t>—</w:t>
      </w:r>
      <w:r>
        <w:rPr>
          <w:rFonts w:hint="eastAsia"/>
        </w:rPr>
        <w:t>法哲学及其方法》，邓正来、姬敬武</w:t>
      </w:r>
      <w:r>
        <w:rPr>
          <w:rFonts w:hint="eastAsia" w:ascii="宋体" w:hAnsi="宋体"/>
        </w:rPr>
        <w:t>译，华夏出版社</w:t>
      </w:r>
      <w:r>
        <w:rPr>
          <w:rFonts w:ascii="宋体" w:hAnsi="宋体"/>
        </w:rPr>
        <w:t>1986</w:t>
      </w:r>
      <w:r>
        <w:rPr>
          <w:rFonts w:hint="eastAsia" w:ascii="宋体" w:hAnsi="宋体"/>
        </w:rPr>
        <w:t>年版，第</w:t>
      </w:r>
      <w:r>
        <w:rPr>
          <w:rFonts w:ascii="宋体" w:hAnsi="宋体"/>
        </w:rPr>
        <w:t>349</w:t>
      </w:r>
      <w:r>
        <w:rPr>
          <w:rFonts w:hint="eastAsia" w:ascii="宋体" w:hAnsi="宋体"/>
        </w:rPr>
        <w:t>、</w:t>
      </w:r>
      <w:r>
        <w:rPr>
          <w:rFonts w:ascii="宋体" w:hAnsi="宋体"/>
        </w:rPr>
        <w:t>425</w:t>
      </w:r>
      <w:r>
        <w:rPr>
          <w:rFonts w:hint="eastAsia" w:ascii="宋体" w:hAnsi="宋体"/>
        </w:rPr>
        <w:t>页。</w:t>
      </w:r>
    </w:p>
  </w:footnote>
  <w:footnote w:id="75">
    <w:p>
      <w:pPr>
        <w:pStyle w:val="7"/>
        <w:rPr>
          <w:rFonts w:hint="eastAsia"/>
        </w:rPr>
      </w:pPr>
      <w:r>
        <w:rPr>
          <w:rStyle w:val="12"/>
        </w:rPr>
        <w:sym w:font="Symbol" w:char="F02A"/>
      </w:r>
      <w:r>
        <w:rPr>
          <w:rFonts w:hint="eastAsia"/>
        </w:rPr>
        <w:t xml:space="preserve"> 郝晓昱，山东济宁人，</w:t>
      </w:r>
      <w:r>
        <w:rPr>
          <w:rFonts w:hint="eastAsia" w:ascii="宋体" w:hAnsi="宋体"/>
        </w:rPr>
        <w:t>上海政法学院2015级硕士研究生，法律硕士（法学）专业。</w:t>
      </w:r>
    </w:p>
  </w:footnote>
  <w:footnote w:id="76">
    <w:p>
      <w:pPr>
        <w:pStyle w:val="7"/>
        <w:rPr>
          <w:rFonts w:hint="eastAsia"/>
        </w:rPr>
      </w:pPr>
      <w:r>
        <w:rPr>
          <w:rStyle w:val="12"/>
        </w:rPr>
        <w:t>[</w:t>
      </w:r>
      <w:r>
        <w:rPr>
          <w:rStyle w:val="12"/>
        </w:rPr>
        <w:footnoteRef/>
      </w:r>
      <w:r>
        <w:rPr>
          <w:rStyle w:val="12"/>
        </w:rPr>
        <w:t>]</w:t>
      </w:r>
      <w:r>
        <w:t xml:space="preserve"> </w:t>
      </w:r>
      <w:r>
        <w:fldChar w:fldCharType="begin"/>
      </w:r>
      <w:r>
        <w:instrText xml:space="preserve"> HYPERLINK "http://www.zhihu.com/question/24788456/answer/31990163" </w:instrText>
      </w:r>
      <w:r>
        <w:fldChar w:fldCharType="separate"/>
      </w:r>
      <w:r>
        <w:t>htt</w:t>
      </w:r>
      <w:bookmarkStart w:id="117" w:name="_Hlt438888629"/>
      <w:r>
        <w:t>p</w:t>
      </w:r>
      <w:bookmarkEnd w:id="117"/>
      <w:r>
        <w:t>://www.zhihu.com/question/24788456/answer/31990163</w:t>
      </w:r>
      <w:r>
        <w:fldChar w:fldCharType="end"/>
      </w:r>
      <w:r>
        <w:rPr>
          <w:rFonts w:hint="eastAsia"/>
        </w:rPr>
        <w:t>。</w:t>
      </w:r>
    </w:p>
  </w:footnote>
  <w:footnote w:id="77">
    <w:p>
      <w:pPr>
        <w:pStyle w:val="7"/>
        <w:rPr>
          <w:rFonts w:hint="eastAsia"/>
        </w:rPr>
      </w:pPr>
      <w:r>
        <w:rPr>
          <w:rStyle w:val="12"/>
        </w:rPr>
        <w:t>[</w:t>
      </w:r>
      <w:r>
        <w:rPr>
          <w:rStyle w:val="12"/>
        </w:rPr>
        <w:footnoteRef/>
      </w:r>
      <w:r>
        <w:rPr>
          <w:rStyle w:val="12"/>
        </w:rPr>
        <w:t>]</w:t>
      </w:r>
      <w:r>
        <w:t xml:space="preserve"> </w:t>
      </w:r>
      <w:r>
        <w:rPr>
          <w:rFonts w:hint="eastAsia"/>
        </w:rPr>
        <w:t>若英：</w:t>
      </w:r>
      <w:r>
        <w:rPr>
          <w:rFonts w:hint="eastAsia" w:ascii="宋体" w:hAnsi="宋体"/>
        </w:rPr>
        <w:t>《ISIS组织是什么？》，载《红旗文稿》2014年第16期，第39页。</w:t>
      </w:r>
    </w:p>
  </w:footnote>
  <w:footnote w:id="78">
    <w:p>
      <w:pPr>
        <w:pStyle w:val="7"/>
        <w:rPr>
          <w:rFonts w:hint="eastAsia"/>
        </w:rPr>
      </w:pPr>
      <w:r>
        <w:rPr>
          <w:rStyle w:val="12"/>
        </w:rPr>
        <w:t>[</w:t>
      </w:r>
      <w:r>
        <w:rPr>
          <w:rStyle w:val="12"/>
        </w:rPr>
        <w:footnoteRef/>
      </w:r>
      <w:r>
        <w:rPr>
          <w:rStyle w:val="12"/>
        </w:rPr>
        <w:t>]</w:t>
      </w:r>
      <w:r>
        <w:t xml:space="preserve"> </w:t>
      </w:r>
      <w:r>
        <w:rPr>
          <w:rFonts w:hint="eastAsia"/>
        </w:rPr>
        <w:t>张金平：《从三年到三个月：ISIS开启“恐怖主义新纪元”》，</w:t>
      </w:r>
      <w:r>
        <w:rPr>
          <w:rFonts w:hint="eastAsia" w:ascii="宋体" w:hAnsi="宋体"/>
        </w:rPr>
        <w:t>载《世界知识》2014年第17期。</w:t>
      </w:r>
    </w:p>
  </w:footnote>
  <w:footnote w:id="79">
    <w:p>
      <w:pPr>
        <w:pStyle w:val="7"/>
        <w:rPr>
          <w:rFonts w:hint="eastAsia"/>
        </w:rPr>
      </w:pPr>
      <w:r>
        <w:rPr>
          <w:rStyle w:val="12"/>
        </w:rPr>
        <w:t>[</w:t>
      </w:r>
      <w:r>
        <w:rPr>
          <w:rStyle w:val="12"/>
        </w:rPr>
        <w:footnoteRef/>
      </w:r>
      <w:r>
        <w:rPr>
          <w:rStyle w:val="12"/>
        </w:rPr>
        <w:t>]</w:t>
      </w:r>
      <w:r>
        <w:t xml:space="preserve"> </w:t>
      </w:r>
      <w:r>
        <w:fldChar w:fldCharType="begin"/>
      </w:r>
      <w:r>
        <w:instrText xml:space="preserve"> HYPERLINK "http://www.zhihu.com/question/24788456/answer/31990163" </w:instrText>
      </w:r>
      <w:r>
        <w:fldChar w:fldCharType="separate"/>
      </w:r>
      <w:r>
        <w:t>http</w:t>
      </w:r>
      <w:bookmarkStart w:id="118" w:name="_Hlt440922741"/>
      <w:r>
        <w:t>:</w:t>
      </w:r>
      <w:bookmarkEnd w:id="118"/>
      <w:r>
        <w:t>//www.z</w:t>
      </w:r>
      <w:bookmarkStart w:id="119" w:name="_Hlt438888657"/>
      <w:r>
        <w:t>h</w:t>
      </w:r>
      <w:bookmarkEnd w:id="119"/>
      <w:r>
        <w:t>ihu.com/question/24788456/an</w:t>
      </w:r>
      <w:bookmarkStart w:id="120" w:name="_Hlt438893622"/>
      <w:r>
        <w:t>s</w:t>
      </w:r>
      <w:bookmarkEnd w:id="120"/>
      <w:r>
        <w:t>wer/31990163</w:t>
      </w:r>
      <w:r>
        <w:fldChar w:fldCharType="end"/>
      </w:r>
      <w:r>
        <w:rPr>
          <w:rFonts w:hint="eastAsia"/>
        </w:rPr>
        <w:t>。</w:t>
      </w:r>
    </w:p>
  </w:footnote>
  <w:footnote w:id="80">
    <w:p>
      <w:pPr>
        <w:pStyle w:val="7"/>
        <w:rPr>
          <w:rFonts w:hint="eastAsia"/>
        </w:rPr>
      </w:pPr>
      <w:r>
        <w:rPr>
          <w:rStyle w:val="12"/>
        </w:rPr>
        <w:t>[</w:t>
      </w:r>
      <w:r>
        <w:rPr>
          <w:rStyle w:val="12"/>
        </w:rPr>
        <w:footnoteRef/>
      </w:r>
      <w:r>
        <w:rPr>
          <w:rStyle w:val="12"/>
        </w:rPr>
        <w:t>]</w:t>
      </w:r>
      <w:r>
        <w:t xml:space="preserve"> </w:t>
      </w:r>
      <w:r>
        <w:rPr>
          <w:rFonts w:hint="eastAsia"/>
        </w:rPr>
        <w:t>同上</w:t>
      </w:r>
      <w:r>
        <w:rPr>
          <w:rFonts w:hint="eastAsia" w:ascii="宋体" w:hAnsi="宋体"/>
        </w:rPr>
        <w:t>注4引文</w:t>
      </w:r>
      <w:r>
        <w:rPr>
          <w:rFonts w:hint="eastAsia"/>
        </w:rPr>
        <w:t>。</w:t>
      </w:r>
    </w:p>
  </w:footnote>
  <w:footnote w:id="81">
    <w:p>
      <w:pPr>
        <w:pStyle w:val="7"/>
        <w:rPr>
          <w:rFonts w:hint="eastAsia"/>
        </w:rPr>
      </w:pPr>
      <w:r>
        <w:rPr>
          <w:rStyle w:val="12"/>
        </w:rPr>
        <w:t>[</w:t>
      </w:r>
      <w:r>
        <w:rPr>
          <w:rStyle w:val="12"/>
        </w:rPr>
        <w:footnoteRef/>
      </w:r>
      <w:r>
        <w:rPr>
          <w:rStyle w:val="12"/>
        </w:rPr>
        <w:t>]</w:t>
      </w:r>
      <w:r>
        <w:t xml:space="preserve"> </w:t>
      </w:r>
      <w:r>
        <w:rPr>
          <w:rFonts w:hint="eastAsia"/>
        </w:rPr>
        <w:t>张金平：《从三年到三个月：ISIS开启“恐怖主义新纪元”》，载《世界</w:t>
      </w:r>
      <w:r>
        <w:rPr>
          <w:rFonts w:hint="eastAsia" w:ascii="宋体" w:hAnsi="宋体"/>
        </w:rPr>
        <w:t>知识》2014年第17期。</w:t>
      </w:r>
    </w:p>
  </w:footnote>
  <w:footnote w:id="82">
    <w:p>
      <w:pPr>
        <w:pStyle w:val="7"/>
        <w:rPr>
          <w:rFonts w:hint="eastAsia"/>
        </w:rPr>
      </w:pPr>
      <w:r>
        <w:rPr>
          <w:rStyle w:val="12"/>
        </w:rPr>
        <w:t>[</w:t>
      </w:r>
      <w:r>
        <w:rPr>
          <w:rStyle w:val="12"/>
        </w:rPr>
        <w:footnoteRef/>
      </w:r>
      <w:r>
        <w:rPr>
          <w:rStyle w:val="12"/>
        </w:rPr>
        <w:t>]</w:t>
      </w:r>
      <w:r>
        <w:rPr>
          <w:rFonts w:hint="eastAsia"/>
        </w:rPr>
        <w:t xml:space="preserve"> 微口网：</w:t>
      </w:r>
      <w:r>
        <w:fldChar w:fldCharType="begin"/>
      </w:r>
      <w:r>
        <w:instrText xml:space="preserve"> </w:instrText>
      </w:r>
      <w:r>
        <w:rPr>
          <w:rFonts w:hint="eastAsia"/>
        </w:rPr>
        <w:instrText xml:space="preserve">HYPERLINK "http://www.vccoo.com/v/1ad643" \o "巴黎恐袭真凶！臭名昭著的ISIS到底是个什么组织？"</w:instrText>
      </w:r>
      <w:r>
        <w:instrText xml:space="preserve"> </w:instrText>
      </w:r>
      <w:r>
        <w:fldChar w:fldCharType="separate"/>
      </w:r>
      <w:r>
        <w:t>巴黎恐袭真凶！臭名昭著的ISIS到底是个什么组织？</w:t>
      </w:r>
      <w:r>
        <w:fldChar w:fldCharType="end"/>
      </w:r>
      <w:r>
        <w:fldChar w:fldCharType="begin"/>
      </w:r>
      <w:r>
        <w:instrText xml:space="preserve"> HYPERLINK "http://www.vccoo.com/v/1ad643" </w:instrText>
      </w:r>
      <w:r>
        <w:fldChar w:fldCharType="separate"/>
      </w:r>
      <w:r>
        <w:t>http://</w:t>
      </w:r>
      <w:bookmarkStart w:id="121" w:name="_Hlt438888670"/>
      <w:r>
        <w:t>w</w:t>
      </w:r>
      <w:bookmarkEnd w:id="121"/>
      <w:r>
        <w:t>ww.</w:t>
      </w:r>
      <w:bookmarkStart w:id="122" w:name="_Hlt440922767"/>
      <w:r>
        <w:t>v</w:t>
      </w:r>
      <w:bookmarkEnd w:id="122"/>
      <w:r>
        <w:t>ccoo.com/v/1ad643</w:t>
      </w:r>
      <w:r>
        <w:fldChar w:fldCharType="end"/>
      </w:r>
      <w:r>
        <w:rPr>
          <w:rFonts w:hint="eastAsia"/>
        </w:rPr>
        <w:t>。</w:t>
      </w:r>
    </w:p>
  </w:footnote>
  <w:footnote w:id="83">
    <w:p>
      <w:pPr>
        <w:pStyle w:val="7"/>
        <w:rPr>
          <w:rFonts w:hint="eastAsia"/>
        </w:rPr>
      </w:pPr>
      <w:r>
        <w:rPr>
          <w:rStyle w:val="12"/>
        </w:rPr>
        <w:t>[</w:t>
      </w:r>
      <w:r>
        <w:rPr>
          <w:rStyle w:val="12"/>
        </w:rPr>
        <w:footnoteRef/>
      </w:r>
      <w:r>
        <w:rPr>
          <w:rStyle w:val="12"/>
        </w:rPr>
        <w:t>]</w:t>
      </w:r>
      <w:r>
        <w:t xml:space="preserve"> </w:t>
      </w:r>
      <w:r>
        <w:rPr>
          <w:rFonts w:hint="eastAsia"/>
        </w:rPr>
        <w:t>同上</w:t>
      </w:r>
      <w:r>
        <w:rPr>
          <w:rFonts w:hint="eastAsia" w:ascii="宋体" w:hAnsi="宋体"/>
        </w:rPr>
        <w:t>注7引</w:t>
      </w:r>
      <w:r>
        <w:rPr>
          <w:rFonts w:hint="eastAsia"/>
        </w:rPr>
        <w:t>文。</w:t>
      </w:r>
    </w:p>
  </w:footnote>
  <w:footnote w:id="84">
    <w:p>
      <w:pPr>
        <w:pStyle w:val="7"/>
        <w:rPr>
          <w:rFonts w:hint="eastAsia"/>
        </w:rPr>
      </w:pPr>
      <w:r>
        <w:rPr>
          <w:rStyle w:val="12"/>
        </w:rPr>
        <w:t>[</w:t>
      </w:r>
      <w:r>
        <w:rPr>
          <w:rStyle w:val="12"/>
        </w:rPr>
        <w:footnoteRef/>
      </w:r>
      <w:r>
        <w:rPr>
          <w:rStyle w:val="12"/>
        </w:rPr>
        <w:t>]</w:t>
      </w:r>
      <w:r>
        <w:t xml:space="preserve"> </w:t>
      </w:r>
      <w:r>
        <w:rPr>
          <w:rFonts w:hint="eastAsia"/>
        </w:rPr>
        <w:t>同上</w:t>
      </w:r>
      <w:r>
        <w:rPr>
          <w:rFonts w:hint="eastAsia" w:ascii="宋体" w:hAnsi="宋体"/>
        </w:rPr>
        <w:t>注7引</w:t>
      </w:r>
      <w:r>
        <w:rPr>
          <w:rFonts w:hint="eastAsia"/>
        </w:rPr>
        <w:t>文。</w:t>
      </w:r>
    </w:p>
  </w:footnote>
  <w:footnote w:id="85">
    <w:p>
      <w:pPr>
        <w:pStyle w:val="7"/>
        <w:rPr>
          <w:rFonts w:hint="eastAsia"/>
        </w:rPr>
      </w:pPr>
      <w:r>
        <w:rPr>
          <w:rStyle w:val="12"/>
        </w:rPr>
        <w:t>[</w:t>
      </w:r>
      <w:r>
        <w:rPr>
          <w:rStyle w:val="12"/>
        </w:rPr>
        <w:footnoteRef/>
      </w:r>
      <w:r>
        <w:rPr>
          <w:rStyle w:val="12"/>
        </w:rPr>
        <w:t>]</w:t>
      </w:r>
      <w:r>
        <w:rPr>
          <w:rFonts w:hint="eastAsia"/>
        </w:rPr>
        <w:t xml:space="preserve"> 若英：</w:t>
      </w:r>
      <w:r>
        <w:rPr>
          <w:rFonts w:hint="eastAsia" w:ascii="宋体" w:hAnsi="宋体"/>
        </w:rPr>
        <w:t>《ISIS组织是什么？</w:t>
      </w:r>
      <w:r>
        <w:rPr>
          <w:rFonts w:hint="eastAsia"/>
        </w:rPr>
        <w:t>》，载《红旗文稿</w:t>
      </w:r>
      <w:r>
        <w:rPr>
          <w:rFonts w:hint="eastAsia" w:ascii="宋体" w:hAnsi="宋体"/>
        </w:rPr>
        <w:t>》2014年第16期，第39页。</w:t>
      </w:r>
    </w:p>
  </w:footnote>
  <w:footnote w:id="86">
    <w:p>
      <w:pPr>
        <w:pStyle w:val="7"/>
        <w:rPr>
          <w:rFonts w:hint="eastAsia"/>
        </w:rPr>
      </w:pPr>
      <w:r>
        <w:rPr>
          <w:rStyle w:val="12"/>
        </w:rPr>
        <w:t>[</w:t>
      </w:r>
      <w:r>
        <w:rPr>
          <w:rStyle w:val="12"/>
        </w:rPr>
        <w:footnoteRef/>
      </w:r>
      <w:r>
        <w:rPr>
          <w:rStyle w:val="12"/>
        </w:rPr>
        <w:t>]</w:t>
      </w:r>
      <w:r>
        <w:fldChar w:fldCharType="begin"/>
      </w:r>
      <w:r>
        <w:instrText xml:space="preserve"> HYPERLINK "</w:instrText>
      </w:r>
      <w:r>
        <w:rPr>
          <w:rFonts w:hint="eastAsia"/>
        </w:rPr>
        <w:instrText xml:space="preserve">h</w:instrText>
      </w:r>
      <w:r>
        <w:instrText xml:space="preserve">ttp://baike.baidu.com/link?url=jo9Pl-J8q2B9mBT2nI1NKEoRxOO-Z9HjkxGSwR-fsEg2ZnT96EBISD-vOoC5V8fcaTV-9fr2BiI6OZNXUFVETxYCOFywKyEC62NPKN5Tsg3IYrYxYSFL3U0XBsATl60vx93BtPrfrEjYCzs-wFQH2q" </w:instrText>
      </w:r>
      <w:r>
        <w:fldChar w:fldCharType="separate"/>
      </w:r>
      <w:r>
        <w:rPr>
          <w:rFonts w:hint="eastAsia"/>
        </w:rPr>
        <w:t>h</w:t>
      </w:r>
      <w:r>
        <w:t>ttp://baike.baidu.com/link?url=jo9Pl-J8q2B9mBT2nI1NK</w:t>
      </w:r>
      <w:bookmarkStart w:id="123" w:name="_Hlt440922846"/>
      <w:r>
        <w:t>E</w:t>
      </w:r>
      <w:bookmarkEnd w:id="123"/>
      <w:r>
        <w:t>oRxOO-Z9HjkxGSwR-fsEg2ZnT96EBISD-vOoC5V8fcaTV-9fr2BiI6OZNXUFVETxYCOFywKyEC62</w:t>
      </w:r>
      <w:bookmarkStart w:id="124" w:name="_Hlt438888687"/>
      <w:r>
        <w:t>N</w:t>
      </w:r>
      <w:bookmarkEnd w:id="124"/>
      <w:r>
        <w:t>PKN5Tsg3IYrYxYSFL3U0XBsATl60vx93BtPrfrEjYCzs-wFQH2q</w:t>
      </w:r>
      <w:r>
        <w:fldChar w:fldCharType="end"/>
      </w:r>
      <w:r>
        <w:rPr>
          <w:rFonts w:hint="eastAsia"/>
        </w:rPr>
        <w:t>。</w:t>
      </w:r>
    </w:p>
  </w:footnote>
  <w:footnote w:id="87">
    <w:p>
      <w:pPr>
        <w:pStyle w:val="7"/>
        <w:rPr>
          <w:rFonts w:hint="eastAsia"/>
        </w:rPr>
      </w:pPr>
      <w:r>
        <w:rPr>
          <w:rStyle w:val="12"/>
        </w:rPr>
        <w:t>[</w:t>
      </w:r>
      <w:r>
        <w:rPr>
          <w:rStyle w:val="12"/>
        </w:rPr>
        <w:footnoteRef/>
      </w:r>
      <w:r>
        <w:rPr>
          <w:rStyle w:val="12"/>
        </w:rPr>
        <w:t xml:space="preserve">] </w:t>
      </w:r>
      <w:r>
        <w:fldChar w:fldCharType="begin"/>
      </w:r>
      <w:r>
        <w:instrText xml:space="preserve"> HYPERLINK "http://news.163.com/14/0817/22/A3SOS3FA0001121M.html" </w:instrText>
      </w:r>
      <w:r>
        <w:fldChar w:fldCharType="separate"/>
      </w:r>
      <w:r>
        <w:t>http://news.163.co</w:t>
      </w:r>
      <w:bookmarkStart w:id="125" w:name="_Hlt440922927"/>
      <w:r>
        <w:t>m</w:t>
      </w:r>
      <w:bookmarkEnd w:id="125"/>
      <w:r>
        <w:t>/1</w:t>
      </w:r>
      <w:bookmarkStart w:id="126" w:name="_Hlt438888726"/>
      <w:r>
        <w:t>4</w:t>
      </w:r>
      <w:bookmarkEnd w:id="126"/>
      <w:r>
        <w:t>/0817/22/A3SOS3FA0001121M.html</w:t>
      </w:r>
      <w:r>
        <w:fldChar w:fldCharType="end"/>
      </w:r>
      <w:r>
        <w:rPr>
          <w:rFonts w:hint="eastAsia"/>
        </w:rPr>
        <w:t>，2014年8月17日。</w:t>
      </w:r>
    </w:p>
  </w:footnote>
  <w:footnote w:id="88">
    <w:p>
      <w:pPr>
        <w:pStyle w:val="7"/>
        <w:rPr>
          <w:rFonts w:hint="eastAsia"/>
        </w:rPr>
      </w:pPr>
      <w:r>
        <w:rPr>
          <w:rStyle w:val="12"/>
        </w:rPr>
        <w:t>[</w:t>
      </w:r>
      <w:r>
        <w:rPr>
          <w:rStyle w:val="12"/>
        </w:rPr>
        <w:footnoteRef/>
      </w:r>
      <w:r>
        <w:rPr>
          <w:rStyle w:val="12"/>
        </w:rPr>
        <w:t>]</w:t>
      </w:r>
      <w:r>
        <w:t xml:space="preserve"> </w:t>
      </w:r>
      <w:r>
        <w:rPr>
          <w:rFonts w:hint="eastAsia"/>
        </w:rPr>
        <w:t>新浪新闻</w:t>
      </w:r>
      <w:r>
        <w:rPr>
          <w:rFonts w:hint="eastAsia" w:ascii="宋体" w:hAnsi="宋体"/>
        </w:rPr>
        <w:t>中心2014年10月6日新闻：</w:t>
      </w:r>
      <w:r>
        <w:rPr>
          <w:rFonts w:ascii="宋体" w:hAnsi="宋体"/>
        </w:rPr>
        <w:t>报告</w:t>
      </w:r>
      <w:r>
        <w:t>称伊斯兰国设奴隶市场 妇女儿童售价10美元</w:t>
      </w:r>
      <w:r>
        <w:rPr>
          <w:rFonts w:hint="eastAsia"/>
        </w:rPr>
        <w:t>，载</w:t>
      </w:r>
      <w:r>
        <w:fldChar w:fldCharType="begin"/>
      </w:r>
      <w:r>
        <w:instrText xml:space="preserve"> HYPERLINK "http://news.sina.com.cn/w/2014-10-06/222030952352.shtml" </w:instrText>
      </w:r>
      <w:r>
        <w:fldChar w:fldCharType="separate"/>
      </w:r>
      <w:r>
        <w:t>http://ne</w:t>
      </w:r>
      <w:bookmarkStart w:id="127" w:name="_Hlt438888743"/>
      <w:r>
        <w:t>w</w:t>
      </w:r>
      <w:bookmarkEnd w:id="127"/>
      <w:r>
        <w:t>s.si</w:t>
      </w:r>
      <w:bookmarkStart w:id="128" w:name="_Hlt440923072"/>
      <w:r>
        <w:t>n</w:t>
      </w:r>
      <w:bookmarkEnd w:id="128"/>
      <w:r>
        <w:t>a.com.cn/w/2014-10-06/222030952352.shtml</w:t>
      </w:r>
      <w:r>
        <w:fldChar w:fldCharType="end"/>
      </w:r>
      <w:r>
        <w:rPr>
          <w:rFonts w:hint="eastAsia"/>
        </w:rPr>
        <w:t>。</w:t>
      </w:r>
    </w:p>
  </w:footnote>
  <w:footnote w:id="89">
    <w:p>
      <w:pPr>
        <w:pStyle w:val="7"/>
        <w:rPr>
          <w:rFonts w:hint="eastAsia"/>
        </w:rPr>
      </w:pPr>
      <w:r>
        <w:rPr>
          <w:rStyle w:val="12"/>
        </w:rPr>
        <w:t>[</w:t>
      </w:r>
      <w:r>
        <w:rPr>
          <w:rStyle w:val="12"/>
        </w:rPr>
        <w:footnoteRef/>
      </w:r>
      <w:r>
        <w:rPr>
          <w:rStyle w:val="12"/>
        </w:rPr>
        <w:t>]</w:t>
      </w:r>
      <w:r>
        <w:rPr>
          <w:rStyle w:val="12"/>
          <w:rFonts w:hint="eastAsia"/>
        </w:rPr>
        <w:t xml:space="preserve"> </w:t>
      </w:r>
      <w:r>
        <w:rPr>
          <w:rFonts w:hint="eastAsia"/>
        </w:rPr>
        <w:t>百度百科：</w:t>
      </w:r>
      <w:r>
        <w:t>伊拉克和大叙利亚伊斯兰国</w:t>
      </w:r>
      <w:r>
        <w:rPr>
          <w:rFonts w:hint="eastAsia"/>
        </w:rPr>
        <w:t>，载</w:t>
      </w:r>
      <w:r>
        <w:fldChar w:fldCharType="begin"/>
      </w:r>
      <w:r>
        <w:instrText xml:space="preserve"> HYPERLINK "</w:instrText>
      </w:r>
      <w:r>
        <w:rPr>
          <w:rFonts w:hint="eastAsia"/>
        </w:rPr>
        <w:instrText xml:space="preserve">h</w:instrText>
      </w:r>
      <w:r>
        <w:instrText xml:space="preserve">ttp://baike.baidu.com/link?url=jo9Pl-J8q2B9mBT2nI1NKEoRxOO-Z9HjkxGSwR-fsEg2ZnT96EBISD-vOoC5V8fcaTV-9fr2BiI6OZNXUFVETxYCOFywKyEC62NPKN5Tsg3IYrYxYSFL3U0XBsATl60vx93BtPrfrEjYCzs-wFQH2q" </w:instrText>
      </w:r>
      <w:r>
        <w:fldChar w:fldCharType="separate"/>
      </w:r>
      <w:r>
        <w:rPr>
          <w:rFonts w:hint="eastAsia"/>
        </w:rPr>
        <w:t>h</w:t>
      </w:r>
      <w:r>
        <w:t>ttp://baike.baidu.com/link?url=jo9Pl-J8q2B9mBT2nI1NKEoRxOO-Z9HjkxGSwR-fsEg2ZnT96EBISD-vOoC5V8fcaTV-9fr2BiI6OZNXU</w:t>
      </w:r>
      <w:bookmarkStart w:id="129" w:name="_Hlt440923156"/>
      <w:r>
        <w:t>F</w:t>
      </w:r>
      <w:bookmarkEnd w:id="129"/>
      <w:r>
        <w:t>VETxYCOFywKyEC62NPKN5Tsg3IYrYxYSFL3U0XBsATl60vx93BtPrfrEjYCzs-wFQH2q</w:t>
      </w:r>
      <w:r>
        <w:fldChar w:fldCharType="end"/>
      </w:r>
      <w:r>
        <w:rPr>
          <w:rFonts w:hint="eastAsia"/>
        </w:rPr>
        <w:t>。</w:t>
      </w:r>
    </w:p>
  </w:footnote>
  <w:footnote w:id="90">
    <w:p>
      <w:pPr>
        <w:pStyle w:val="7"/>
        <w:rPr>
          <w:rFonts w:hint="eastAsia"/>
        </w:rPr>
      </w:pPr>
      <w:r>
        <w:rPr>
          <w:rStyle w:val="12"/>
        </w:rPr>
        <w:t>[</w:t>
      </w:r>
      <w:r>
        <w:rPr>
          <w:rStyle w:val="12"/>
        </w:rPr>
        <w:footnoteRef/>
      </w:r>
      <w:r>
        <w:rPr>
          <w:rStyle w:val="12"/>
        </w:rPr>
        <w:t>]</w:t>
      </w:r>
      <w:r>
        <w:t xml:space="preserve"> </w:t>
      </w:r>
      <w:r>
        <w:rPr>
          <w:rFonts w:hint="eastAsia" w:ascii="宋体" w:hAnsi="宋体"/>
        </w:rPr>
        <w:t>环球新闻2015年11月14日新闻：</w:t>
      </w:r>
      <w:r>
        <w:rPr>
          <w:rFonts w:ascii="宋体" w:hAnsi="宋体"/>
        </w:rPr>
        <w:t>快讯：巴黎恐袭致128死亡 99人重伤</w:t>
      </w:r>
      <w:r>
        <w:rPr>
          <w:rFonts w:hint="eastAsia" w:ascii="宋体" w:hAnsi="宋体"/>
        </w:rPr>
        <w:t>，</w:t>
      </w:r>
      <w:r>
        <w:rPr>
          <w:rFonts w:hint="eastAsia"/>
        </w:rPr>
        <w:t>载</w:t>
      </w:r>
      <w:r>
        <w:fldChar w:fldCharType="begin"/>
      </w:r>
      <w:r>
        <w:instrText xml:space="preserve"> HYPERLINK "http://world.huanqiu.com/exclusive/2015-11/7979205.html" </w:instrText>
      </w:r>
      <w:r>
        <w:fldChar w:fldCharType="separate"/>
      </w:r>
      <w:r>
        <w:t>http://</w:t>
      </w:r>
      <w:bookmarkStart w:id="130" w:name="_Hlt438888823"/>
      <w:r>
        <w:t>w</w:t>
      </w:r>
      <w:bookmarkEnd w:id="130"/>
      <w:r>
        <w:t>orld.huanqiu.com/exclusiv</w:t>
      </w:r>
      <w:bookmarkStart w:id="131" w:name="_Hlt440923198"/>
      <w:r>
        <w:t>e</w:t>
      </w:r>
      <w:bookmarkEnd w:id="131"/>
      <w:r>
        <w:t>/2015-11/7979205.html</w:t>
      </w:r>
      <w:r>
        <w:fldChar w:fldCharType="end"/>
      </w:r>
      <w:r>
        <w:rPr>
          <w:rFonts w:hint="eastAsia"/>
        </w:rPr>
        <w:t>。</w:t>
      </w:r>
    </w:p>
  </w:footnote>
  <w:footnote w:id="91">
    <w:p>
      <w:pPr>
        <w:pStyle w:val="7"/>
        <w:rPr>
          <w:rFonts w:hint="eastAsia"/>
        </w:rPr>
      </w:pPr>
      <w:r>
        <w:rPr>
          <w:rStyle w:val="12"/>
        </w:rPr>
        <w:t>[</w:t>
      </w:r>
      <w:r>
        <w:rPr>
          <w:rStyle w:val="12"/>
        </w:rPr>
        <w:footnoteRef/>
      </w:r>
      <w:r>
        <w:rPr>
          <w:rStyle w:val="12"/>
        </w:rPr>
        <w:t>]</w:t>
      </w:r>
      <w:r>
        <w:t xml:space="preserve"> </w:t>
      </w:r>
      <w:r>
        <w:rPr>
          <w:rFonts w:hint="eastAsia" w:ascii="宋体" w:hAnsi="宋体"/>
        </w:rPr>
        <w:t>网易新闻2015年11月19日新闻：外交部确认中国公民樊京辉被</w:t>
      </w:r>
      <w:r>
        <w:rPr>
          <w:rFonts w:hint="eastAsia"/>
        </w:rPr>
        <w:t>“伊斯兰国”杀害，载</w:t>
      </w:r>
      <w:r>
        <w:fldChar w:fldCharType="begin"/>
      </w:r>
      <w:r>
        <w:instrText xml:space="preserve"> HYPERLINK "http://news.163.com/15/1119/10/B8PCQ7SA0001124J.html?baike" </w:instrText>
      </w:r>
      <w:r>
        <w:fldChar w:fldCharType="separate"/>
      </w:r>
      <w:r>
        <w:t>http</w:t>
      </w:r>
      <w:bookmarkStart w:id="132" w:name="_Hlt440923261"/>
      <w:r>
        <w:t>:</w:t>
      </w:r>
      <w:bookmarkEnd w:id="132"/>
      <w:r>
        <w:t>//news.163.com/15/1119/10/B8PCQ7SA0</w:t>
      </w:r>
      <w:bookmarkStart w:id="133" w:name="_Hlt438888907"/>
      <w:r>
        <w:t>0</w:t>
      </w:r>
      <w:bookmarkEnd w:id="133"/>
      <w:r>
        <w:t>01124J.html?baike</w:t>
      </w:r>
      <w:r>
        <w:fldChar w:fldCharType="end"/>
      </w:r>
      <w:r>
        <w:rPr>
          <w:rFonts w:hint="eastAsia"/>
        </w:rPr>
        <w:t>。</w:t>
      </w:r>
    </w:p>
  </w:footnote>
  <w:footnote w:id="92">
    <w:p>
      <w:pPr>
        <w:pStyle w:val="7"/>
        <w:rPr>
          <w:rFonts w:hint="eastAsia"/>
        </w:rPr>
      </w:pPr>
      <w:r>
        <w:rPr>
          <w:rStyle w:val="12"/>
        </w:rPr>
        <w:t>[</w:t>
      </w:r>
      <w:r>
        <w:rPr>
          <w:rStyle w:val="12"/>
        </w:rPr>
        <w:footnoteRef/>
      </w:r>
      <w:r>
        <w:rPr>
          <w:rStyle w:val="12"/>
        </w:rPr>
        <w:t>]</w:t>
      </w:r>
      <w:r>
        <w:t xml:space="preserve"> </w:t>
      </w:r>
      <w:r>
        <w:rPr>
          <w:rFonts w:hint="eastAsia"/>
        </w:rPr>
        <w:t>网</w:t>
      </w:r>
      <w:r>
        <w:rPr>
          <w:rFonts w:hint="eastAsia" w:ascii="宋体" w:hAnsi="宋体"/>
        </w:rPr>
        <w:t>易新闻2015年12月6日新闻：人手不够 ISIS强征</w:t>
      </w:r>
      <w:r>
        <w:rPr>
          <w:rFonts w:hint="eastAsia"/>
        </w:rPr>
        <w:t>童兵，载</w:t>
      </w:r>
      <w:r>
        <w:fldChar w:fldCharType="begin"/>
      </w:r>
      <w:r>
        <w:instrText xml:space="preserve"> HYPERLINK "http://news.163.com/15/1206/01/BA493Q9R00014AED.html" </w:instrText>
      </w:r>
      <w:r>
        <w:fldChar w:fldCharType="separate"/>
      </w:r>
      <w:r>
        <w:t>http://n</w:t>
      </w:r>
      <w:bookmarkStart w:id="134" w:name="_Hlt440923379"/>
      <w:r>
        <w:t>e</w:t>
      </w:r>
      <w:bookmarkEnd w:id="134"/>
      <w:r>
        <w:t>ws.163.com/15/1206/01/BA493Q9R00014AED.html</w:t>
      </w:r>
      <w:r>
        <w:fldChar w:fldCharType="end"/>
      </w:r>
      <w:r>
        <w:rPr>
          <w:rFonts w:hint="eastAsia"/>
        </w:rPr>
        <w:t>。</w:t>
      </w:r>
    </w:p>
  </w:footnote>
  <w:footnote w:id="93">
    <w:p>
      <w:pPr>
        <w:pStyle w:val="7"/>
        <w:rPr>
          <w:rFonts w:hint="eastAsia"/>
        </w:rPr>
      </w:pPr>
      <w:r>
        <w:rPr>
          <w:rStyle w:val="12"/>
        </w:rPr>
        <w:t>[</w:t>
      </w:r>
      <w:r>
        <w:rPr>
          <w:rStyle w:val="12"/>
        </w:rPr>
        <w:footnoteRef/>
      </w:r>
      <w:r>
        <w:rPr>
          <w:rStyle w:val="12"/>
        </w:rPr>
        <w:t>]</w:t>
      </w:r>
      <w:r>
        <w:t xml:space="preserve"> </w:t>
      </w:r>
      <w:r>
        <w:rPr>
          <w:rFonts w:hint="eastAsia"/>
        </w:rPr>
        <w:t>谢玮：</w:t>
      </w:r>
      <w:r>
        <w:rPr>
          <w:rFonts w:hint="eastAsia" w:ascii="宋体" w:hAnsi="宋体"/>
        </w:rPr>
        <w:t>《巴黎恐怖事件后的欧洲》，载《中国经济周刊》2014年11月13日，第6版。</w:t>
      </w:r>
    </w:p>
  </w:footnote>
  <w:footnote w:id="94">
    <w:p>
      <w:pPr>
        <w:pStyle w:val="7"/>
        <w:rPr>
          <w:rFonts w:hint="eastAsia"/>
        </w:rPr>
      </w:pPr>
      <w:r>
        <w:rPr>
          <w:rStyle w:val="12"/>
        </w:rPr>
        <w:t>[</w:t>
      </w:r>
      <w:r>
        <w:rPr>
          <w:rStyle w:val="12"/>
        </w:rPr>
        <w:footnoteRef/>
      </w:r>
      <w:r>
        <w:rPr>
          <w:rStyle w:val="12"/>
        </w:rPr>
        <w:t>]</w:t>
      </w:r>
      <w:r>
        <w:t xml:space="preserve"> </w:t>
      </w:r>
      <w:r>
        <w:rPr>
          <w:rFonts w:hint="eastAsia"/>
        </w:rPr>
        <w:t>网易新</w:t>
      </w:r>
      <w:r>
        <w:rPr>
          <w:rFonts w:hint="eastAsia" w:ascii="宋体" w:hAnsi="宋体"/>
        </w:rPr>
        <w:t>闻2014年11月7日新</w:t>
      </w:r>
      <w:r>
        <w:rPr>
          <w:rFonts w:hint="eastAsia"/>
        </w:rPr>
        <w:t>闻：美国盟军空袭叙利亚基地组织分支</w:t>
      </w:r>
      <w:r>
        <w:rPr>
          <w:rFonts w:hint="eastAsia" w:ascii="宋体" w:hAnsi="宋体"/>
        </w:rPr>
        <w:t>致6人死</w:t>
      </w:r>
      <w:r>
        <w:rPr>
          <w:rFonts w:hint="eastAsia"/>
        </w:rPr>
        <w:t>亡，载</w:t>
      </w:r>
      <w:r>
        <w:fldChar w:fldCharType="begin"/>
      </w:r>
      <w:r>
        <w:instrText xml:space="preserve"> HYPERLINK "http://news.163.com/14/1107/16/AAF8LF7N00014JB6.html" </w:instrText>
      </w:r>
      <w:r>
        <w:fldChar w:fldCharType="separate"/>
      </w:r>
      <w:r>
        <w:t>http://</w:t>
      </w:r>
      <w:bookmarkStart w:id="135" w:name="_Hlt438888953"/>
      <w:r>
        <w:t>n</w:t>
      </w:r>
      <w:bookmarkEnd w:id="135"/>
      <w:r>
        <w:t>ew</w:t>
      </w:r>
      <w:bookmarkStart w:id="136" w:name="_Hlt438888965"/>
      <w:r>
        <w:t>s</w:t>
      </w:r>
      <w:bookmarkEnd w:id="136"/>
      <w:r>
        <w:t>.163.co</w:t>
      </w:r>
      <w:bookmarkStart w:id="137" w:name="_Hlt440923447"/>
      <w:r>
        <w:t>m</w:t>
      </w:r>
      <w:bookmarkEnd w:id="137"/>
      <w:r>
        <w:t>/14/1107/16/AAF8LF7N00014JB6.html</w:t>
      </w:r>
      <w:r>
        <w:fldChar w:fldCharType="end"/>
      </w:r>
      <w:r>
        <w:rPr>
          <w:rFonts w:hint="eastAsia"/>
        </w:rPr>
        <w:t>。</w:t>
      </w:r>
    </w:p>
  </w:footnote>
  <w:footnote w:id="95">
    <w:p>
      <w:pPr>
        <w:pStyle w:val="7"/>
      </w:pPr>
      <w:r>
        <w:rPr>
          <w:rStyle w:val="12"/>
        </w:rPr>
        <w:t>[</w:t>
      </w:r>
      <w:r>
        <w:rPr>
          <w:rStyle w:val="12"/>
        </w:rPr>
        <w:footnoteRef/>
      </w:r>
      <w:r>
        <w:rPr>
          <w:rStyle w:val="12"/>
        </w:rPr>
        <w:t>]</w:t>
      </w:r>
      <w:r>
        <w:t xml:space="preserve"> </w:t>
      </w:r>
      <w:r>
        <w:rPr>
          <w:rFonts w:hint="eastAsia"/>
        </w:rPr>
        <w:t>网易新</w:t>
      </w:r>
      <w:r>
        <w:rPr>
          <w:rFonts w:hint="eastAsia" w:ascii="宋体" w:hAnsi="宋体"/>
        </w:rPr>
        <w:t>闻2014年11月11日新</w:t>
      </w:r>
      <w:r>
        <w:rPr>
          <w:rFonts w:hint="eastAsia"/>
        </w:rPr>
        <w:t>闻：</w:t>
      </w:r>
      <w:r>
        <w:rPr>
          <w:rFonts w:hint="eastAsia" w:ascii="宋体" w:hAnsi="宋体"/>
        </w:rPr>
        <w:t>美第一组约50</w:t>
      </w:r>
      <w:r>
        <w:rPr>
          <w:rFonts w:hint="eastAsia"/>
        </w:rPr>
        <w:t>名军事顾问抵达伊拉克西部空军基地，载</w:t>
      </w:r>
    </w:p>
    <w:p>
      <w:pPr>
        <w:pStyle w:val="7"/>
        <w:rPr>
          <w:rFonts w:hint="eastAsia"/>
        </w:rPr>
      </w:pPr>
      <w:r>
        <w:fldChar w:fldCharType="begin"/>
      </w:r>
      <w:r>
        <w:instrText xml:space="preserve"> HYPERLINK "http://news.163.com/14/1111/08/AAOOIAJ200014JB6.html" </w:instrText>
      </w:r>
      <w:r>
        <w:fldChar w:fldCharType="separate"/>
      </w:r>
      <w:r>
        <w:t>http://new</w:t>
      </w:r>
      <w:bookmarkStart w:id="138" w:name="_Hlt440923501"/>
      <w:r>
        <w:t>s</w:t>
      </w:r>
      <w:bookmarkEnd w:id="138"/>
      <w:r>
        <w:t>.163.com/14/1111/08/AAOOIAJ200014JB6.html</w:t>
      </w:r>
      <w:r>
        <w:fldChar w:fldCharType="end"/>
      </w:r>
      <w:r>
        <w:rPr>
          <w:rFonts w:hint="eastAsia"/>
        </w:rPr>
        <w:t>。</w:t>
      </w:r>
    </w:p>
  </w:footnote>
  <w:footnote w:id="96">
    <w:p>
      <w:pPr>
        <w:pStyle w:val="7"/>
        <w:rPr>
          <w:rFonts w:hint="eastAsia"/>
        </w:rPr>
      </w:pPr>
      <w:r>
        <w:rPr>
          <w:rStyle w:val="12"/>
        </w:rPr>
        <w:t>[</w:t>
      </w:r>
      <w:r>
        <w:rPr>
          <w:rStyle w:val="12"/>
        </w:rPr>
        <w:footnoteRef/>
      </w:r>
      <w:r>
        <w:rPr>
          <w:rStyle w:val="12"/>
        </w:rPr>
        <w:t>]</w:t>
      </w:r>
      <w:r>
        <w:t xml:space="preserve"> </w:t>
      </w:r>
      <w:r>
        <w:rPr>
          <w:rFonts w:hint="eastAsia"/>
        </w:rPr>
        <w:t>中华网：</w:t>
      </w:r>
      <w:r>
        <w:t>俄罗斯空袭恐怖分子车队 炸</w:t>
      </w:r>
      <w:r>
        <w:rPr>
          <w:rFonts w:ascii="宋体" w:hAnsi="宋体"/>
        </w:rPr>
        <w:t>毁IS大量</w:t>
      </w:r>
      <w:r>
        <w:t>运油车</w:t>
      </w:r>
      <w:r>
        <w:rPr>
          <w:rFonts w:hint="eastAsia"/>
        </w:rPr>
        <w:t>，载</w:t>
      </w:r>
      <w:r>
        <w:fldChar w:fldCharType="begin"/>
      </w:r>
      <w:r>
        <w:instrText xml:space="preserve"> HYPERLINK "http://news.china.com/hd/11127798/20151205/20878428_2.html" </w:instrText>
      </w:r>
      <w:r>
        <w:fldChar w:fldCharType="separate"/>
      </w:r>
      <w:r>
        <w:t>h</w:t>
      </w:r>
      <w:bookmarkStart w:id="139" w:name="_Hlt438888984"/>
      <w:r>
        <w:t>t</w:t>
      </w:r>
      <w:bookmarkEnd w:id="139"/>
      <w:r>
        <w:t>tp://new</w:t>
      </w:r>
      <w:bookmarkStart w:id="140" w:name="_Hlt440923616"/>
      <w:r>
        <w:t>s</w:t>
      </w:r>
      <w:bookmarkEnd w:id="140"/>
      <w:r>
        <w:t>.china.com/hd/11127798/20151205/20878428_2.html</w:t>
      </w:r>
      <w:r>
        <w:fldChar w:fldCharType="end"/>
      </w:r>
      <w:r>
        <w:rPr>
          <w:rFonts w:hint="eastAsia"/>
        </w:rPr>
        <w:t>。</w:t>
      </w:r>
    </w:p>
  </w:footnote>
  <w:footnote w:id="97">
    <w:p>
      <w:pPr>
        <w:pStyle w:val="7"/>
        <w:rPr>
          <w:rFonts w:hint="eastAsia"/>
        </w:rPr>
      </w:pPr>
      <w:r>
        <w:rPr>
          <w:rStyle w:val="12"/>
        </w:rPr>
        <w:t>[</w:t>
      </w:r>
      <w:r>
        <w:rPr>
          <w:rStyle w:val="12"/>
        </w:rPr>
        <w:footnoteRef/>
      </w:r>
      <w:r>
        <w:rPr>
          <w:rStyle w:val="12"/>
        </w:rPr>
        <w:t>]</w:t>
      </w:r>
      <w:r>
        <w:t xml:space="preserve"> </w:t>
      </w:r>
      <w:r>
        <w:rPr>
          <w:rFonts w:hint="eastAsia"/>
        </w:rPr>
        <w:t>英空网：</w:t>
      </w:r>
      <w:r>
        <w:t>土耳其允法使用土领空打击IS 法可在土部署战机</w:t>
      </w:r>
      <w:r>
        <w:rPr>
          <w:rFonts w:hint="eastAsia"/>
        </w:rPr>
        <w:t>，载</w:t>
      </w:r>
      <w:r>
        <w:fldChar w:fldCharType="begin"/>
      </w:r>
      <w:r>
        <w:instrText xml:space="preserve"> HYPERLINK "http://www.ykcms.cn/news/world/3883.html" </w:instrText>
      </w:r>
      <w:r>
        <w:fldChar w:fldCharType="separate"/>
      </w:r>
      <w:r>
        <w:t>http://</w:t>
      </w:r>
      <w:bookmarkStart w:id="141" w:name="_Hlt438889003"/>
      <w:r>
        <w:t>w</w:t>
      </w:r>
      <w:bookmarkEnd w:id="141"/>
      <w:bookmarkStart w:id="142" w:name="_Hlt440923649"/>
      <w:r>
        <w:t>w</w:t>
      </w:r>
      <w:bookmarkEnd w:id="142"/>
      <w:r>
        <w:t>w.ykcms.cn/news/world/3883.html</w:t>
      </w:r>
      <w:r>
        <w:fldChar w:fldCharType="end"/>
      </w:r>
      <w:r>
        <w:rPr>
          <w:rFonts w:hint="eastAsia"/>
        </w:rPr>
        <w:t>。</w:t>
      </w:r>
    </w:p>
  </w:footnote>
  <w:footnote w:id="98">
    <w:p>
      <w:pPr>
        <w:pStyle w:val="7"/>
        <w:rPr>
          <w:rFonts w:hint="eastAsia"/>
        </w:rPr>
      </w:pPr>
      <w:r>
        <w:rPr>
          <w:rStyle w:val="12"/>
        </w:rPr>
        <w:t>[</w:t>
      </w:r>
      <w:r>
        <w:rPr>
          <w:rStyle w:val="12"/>
        </w:rPr>
        <w:footnoteRef/>
      </w:r>
      <w:r>
        <w:rPr>
          <w:rStyle w:val="12"/>
        </w:rPr>
        <w:t>]</w:t>
      </w:r>
      <w:r>
        <w:t xml:space="preserve"> </w:t>
      </w:r>
      <w:r>
        <w:rPr>
          <w:rFonts w:hint="eastAsia"/>
        </w:rPr>
        <w:t>腾讯新</w:t>
      </w:r>
      <w:r>
        <w:rPr>
          <w:rFonts w:hint="eastAsia" w:ascii="宋体" w:hAnsi="宋体"/>
        </w:rPr>
        <w:t>闻2015年9月22日新</w:t>
      </w:r>
      <w:r>
        <w:rPr>
          <w:rFonts w:hint="eastAsia"/>
        </w:rPr>
        <w:t>闻：叙利亚政府军空袭击</w:t>
      </w:r>
      <w:r>
        <w:rPr>
          <w:rFonts w:hint="eastAsia" w:ascii="宋体" w:hAnsi="宋体"/>
        </w:rPr>
        <w:t>毙38名极</w:t>
      </w:r>
      <w:r>
        <w:rPr>
          <w:rFonts w:hint="eastAsia"/>
        </w:rPr>
        <w:t>端组织成员，载</w:t>
      </w:r>
      <w:r>
        <w:fldChar w:fldCharType="begin"/>
      </w:r>
      <w:r>
        <w:instrText xml:space="preserve"> HYPERLINK "http://news.qq.com/a/20150922/058339.htm" </w:instrText>
      </w:r>
      <w:r>
        <w:fldChar w:fldCharType="separate"/>
      </w:r>
      <w:r>
        <w:t>http://n</w:t>
      </w:r>
      <w:bookmarkStart w:id="143" w:name="_Hlt440923731"/>
      <w:r>
        <w:t>e</w:t>
      </w:r>
      <w:bookmarkEnd w:id="143"/>
      <w:r>
        <w:t>ws.qq.c</w:t>
      </w:r>
      <w:bookmarkStart w:id="144" w:name="_Hlt438889027"/>
      <w:r>
        <w:t>o</w:t>
      </w:r>
      <w:bookmarkEnd w:id="144"/>
      <w:r>
        <w:t>m/a/20150922/058339.htm</w:t>
      </w:r>
      <w:r>
        <w:fldChar w:fldCharType="end"/>
      </w:r>
      <w:r>
        <w:rPr>
          <w:rFonts w:hint="eastAsia"/>
        </w:rPr>
        <w:t>。</w:t>
      </w:r>
    </w:p>
  </w:footnote>
  <w:footnote w:id="99">
    <w:p>
      <w:pPr>
        <w:pStyle w:val="7"/>
        <w:rPr>
          <w:rFonts w:hint="eastAsia" w:ascii="宋体" w:hAnsi="宋体"/>
        </w:rPr>
      </w:pPr>
      <w:r>
        <w:rPr>
          <w:rStyle w:val="12"/>
        </w:rPr>
        <w:t>[</w:t>
      </w:r>
      <w:r>
        <w:rPr>
          <w:rStyle w:val="12"/>
        </w:rPr>
        <w:footnoteRef/>
      </w:r>
      <w:r>
        <w:rPr>
          <w:rStyle w:val="12"/>
        </w:rPr>
        <w:t>]</w:t>
      </w:r>
      <w:r>
        <w:t xml:space="preserve"> </w:t>
      </w:r>
      <w:r>
        <w:rPr>
          <w:rFonts w:hint="eastAsia"/>
        </w:rPr>
        <w:t>丁红军、陈德俊：</w:t>
      </w:r>
      <w:r>
        <w:rPr>
          <w:rFonts w:hint="eastAsia" w:ascii="宋体" w:hAnsi="宋体"/>
        </w:rPr>
        <w:t>《ISIS网络恐</w:t>
      </w:r>
      <w:r>
        <w:rPr>
          <w:rFonts w:hint="eastAsia"/>
        </w:rPr>
        <w:t>怖主义活动对我国反恐形势的影响及应对措施》，《中国公共安全》</w:t>
      </w:r>
      <w:r>
        <w:rPr>
          <w:rFonts w:hint="eastAsia" w:ascii="宋体" w:hAnsi="宋体"/>
        </w:rPr>
        <w:t>2015年第2期总第39期。</w:t>
      </w:r>
    </w:p>
  </w:footnote>
  <w:footnote w:id="100">
    <w:p>
      <w:pPr>
        <w:pStyle w:val="7"/>
        <w:rPr>
          <w:rFonts w:hint="eastAsia"/>
        </w:rPr>
      </w:pPr>
      <w:r>
        <w:rPr>
          <w:rStyle w:val="12"/>
        </w:rPr>
        <w:t>[</w:t>
      </w:r>
      <w:r>
        <w:rPr>
          <w:rStyle w:val="12"/>
        </w:rPr>
        <w:footnoteRef/>
      </w:r>
      <w:r>
        <w:rPr>
          <w:rStyle w:val="12"/>
        </w:rPr>
        <w:t>]</w:t>
      </w:r>
      <w:r>
        <w:t xml:space="preserve"> </w:t>
      </w:r>
      <w:r>
        <w:rPr>
          <w:rFonts w:hint="eastAsia"/>
        </w:rPr>
        <w:t>同上</w:t>
      </w:r>
      <w:r>
        <w:rPr>
          <w:rFonts w:hint="eastAsia" w:ascii="宋体" w:hAnsi="宋体"/>
        </w:rPr>
        <w:t>注24引文</w:t>
      </w:r>
    </w:p>
  </w:footnote>
  <w:footnote w:id="101">
    <w:p>
      <w:pPr>
        <w:pStyle w:val="7"/>
        <w:rPr>
          <w:rFonts w:hint="eastAsia" w:ascii="宋体" w:hAnsi="宋体"/>
        </w:rPr>
      </w:pPr>
      <w:r>
        <w:rPr>
          <w:rStyle w:val="12"/>
        </w:rPr>
        <w:t>[</w:t>
      </w:r>
      <w:r>
        <w:rPr>
          <w:rStyle w:val="12"/>
        </w:rPr>
        <w:footnoteRef/>
      </w:r>
      <w:r>
        <w:rPr>
          <w:rStyle w:val="12"/>
        </w:rPr>
        <w:t>]</w:t>
      </w:r>
      <w:r>
        <w:t xml:space="preserve"> </w:t>
      </w:r>
      <w:r>
        <w:rPr>
          <w:rFonts w:hint="eastAsia"/>
        </w:rPr>
        <w:t>盛红生：《伊斯兰国恐怖威胁非“一日之寒”》，载《法制日报</w:t>
      </w:r>
      <w:r>
        <w:rPr>
          <w:rFonts w:hint="eastAsia" w:ascii="宋体" w:hAnsi="宋体"/>
        </w:rPr>
        <w:t>》2014年10月28日，第10版。</w:t>
      </w:r>
    </w:p>
  </w:footnote>
  <w:footnote w:id="102">
    <w:p>
      <w:pPr>
        <w:pStyle w:val="7"/>
        <w:rPr>
          <w:rFonts w:hint="eastAsia"/>
        </w:rPr>
      </w:pPr>
      <w:r>
        <w:rPr>
          <w:rStyle w:val="12"/>
        </w:rPr>
        <w:t>[</w:t>
      </w:r>
      <w:r>
        <w:rPr>
          <w:rStyle w:val="12"/>
        </w:rPr>
        <w:footnoteRef/>
      </w:r>
      <w:r>
        <w:rPr>
          <w:rStyle w:val="12"/>
        </w:rPr>
        <w:t>]</w:t>
      </w:r>
      <w:r>
        <w:rPr>
          <w:rFonts w:hint="eastAsia"/>
        </w:rPr>
        <w:t xml:space="preserve"> 张金平：《从三年</w:t>
      </w:r>
      <w:r>
        <w:rPr>
          <w:rFonts w:hint="eastAsia" w:ascii="宋体" w:hAnsi="宋体"/>
        </w:rPr>
        <w:t>到三个月：ISIS开启“恐</w:t>
      </w:r>
      <w:r>
        <w:rPr>
          <w:rFonts w:hint="eastAsia"/>
        </w:rPr>
        <w:t>怖主义新纪元”》，载《世</w:t>
      </w:r>
      <w:r>
        <w:rPr>
          <w:rFonts w:hint="eastAsia" w:ascii="宋体" w:hAnsi="宋体"/>
        </w:rPr>
        <w:t>界知识》2014年第17期。</w:t>
      </w:r>
    </w:p>
  </w:footnote>
  <w:footnote w:id="103">
    <w:p>
      <w:pPr>
        <w:pStyle w:val="7"/>
        <w:rPr>
          <w:rFonts w:hint="eastAsia" w:ascii="宋体" w:hAnsi="宋体"/>
        </w:rPr>
      </w:pPr>
      <w:r>
        <w:rPr>
          <w:rStyle w:val="12"/>
        </w:rPr>
        <w:t>[</w:t>
      </w:r>
      <w:r>
        <w:rPr>
          <w:rStyle w:val="12"/>
        </w:rPr>
        <w:footnoteRef/>
      </w:r>
      <w:r>
        <w:rPr>
          <w:rStyle w:val="12"/>
        </w:rPr>
        <w:t>]</w:t>
      </w:r>
      <w:r>
        <w:t xml:space="preserve"> </w:t>
      </w:r>
      <w:r>
        <w:rPr>
          <w:rFonts w:hint="eastAsia"/>
        </w:rPr>
        <w:t>丁红军、</w:t>
      </w:r>
      <w:r>
        <w:rPr>
          <w:rFonts w:hint="eastAsia" w:ascii="宋体" w:hAnsi="宋体"/>
        </w:rPr>
        <w:t>陈德俊：《ISIS网络恐怖主义活动对我国反恐形势的影响及应对措施》，载《中国公共安全》2015年第2期总第39期。</w:t>
      </w:r>
    </w:p>
  </w:footnote>
  <w:footnote w:id="104">
    <w:p>
      <w:pPr>
        <w:pStyle w:val="7"/>
        <w:snapToGrid w:val="0"/>
        <w:rPr>
          <w:rStyle w:val="12"/>
          <w:rFonts w:hint="eastAsia" w:ascii="宋体" w:hAnsi="宋体" w:eastAsia="宋体" w:cs="宋体"/>
          <w:sz w:val="18"/>
          <w:szCs w:val="18"/>
          <w:lang w:val="en-US" w:eastAsia="zh-CN"/>
        </w:rPr>
      </w:pPr>
      <w:r>
        <w:rPr>
          <w:rFonts w:hint="eastAsia" w:ascii="宋体" w:hAnsi="宋体" w:eastAsia="宋体" w:cs="宋体"/>
          <w:sz w:val="18"/>
          <w:szCs w:val="18"/>
          <w:vertAlign w:val="superscript"/>
          <w:lang w:val="en-US" w:eastAsia="zh-CN"/>
        </w:rPr>
        <w:t xml:space="preserve">* </w:t>
      </w:r>
      <w:r>
        <w:rPr>
          <w:rFonts w:hint="eastAsia" w:ascii="宋体" w:hAnsi="宋体" w:eastAsia="宋体" w:cs="宋体"/>
          <w:sz w:val="18"/>
          <w:szCs w:val="18"/>
          <w:lang w:val="en-US" w:eastAsia="zh-CN"/>
        </w:rPr>
        <w:t>朱海玲：四川巴中人，上海政法学院2015级法律硕士（法学）专业，师从翟新辉老师。</w:t>
      </w:r>
    </w:p>
    <w:p>
      <w:pPr>
        <w:pStyle w:val="7"/>
        <w:snapToGrid w:val="0"/>
      </w:pPr>
      <w:r>
        <w:rPr>
          <w:rStyle w:val="12"/>
          <w:rFonts w:hint="default" w:ascii="Times New Roman" w:hAnsi="Times New Roman" w:cs="Times New Roman"/>
        </w:rPr>
        <w:t>[</w:t>
      </w:r>
      <w:r>
        <w:rPr>
          <w:rStyle w:val="12"/>
          <w:rFonts w:hint="default" w:ascii="Times New Roman" w:hAnsi="Times New Roman" w:cs="Times New Roman"/>
        </w:rPr>
        <w:footnoteRef/>
      </w:r>
      <w:r>
        <w:rPr>
          <w:rStyle w:val="12"/>
          <w:rFonts w:hint="default" w:ascii="Times New Roman" w:hAnsi="Times New Roman" w:cs="Times New Roman"/>
        </w:rPr>
        <w:t>]</w:t>
      </w:r>
      <w:r>
        <w:t xml:space="preserve"> </w:t>
      </w:r>
      <w:r>
        <w:rPr>
          <w:rFonts w:hint="eastAsia" w:ascii="宋体" w:hAnsi="宋体" w:eastAsia="宋体" w:cs="宋体"/>
          <w:sz w:val="18"/>
          <w:szCs w:val="18"/>
        </w:rPr>
        <w:t>2006年4月21日,许霆在广州市天河区某银行的ATM取款机上取款。由于发现取出1000元但银行卡账户里只被扣1元,于是许霆反复操作取走5. 4万元。在两天中,许霆先后取款171笔,合计17. 5万元,随后潜逃。期间,许霆曾与银行联系,但被银行职员告知不管是否退回全部款项,均将被判刑。2007年5月,潜逃一年并将17. 5万元挥霍一空的许霆在陕西省宝鸡市火车站被警方抓获。2007年12月,广州市中级人民法院以盗窃罪判处许霆无期徒刑,剥夺政治权利终身,并处没收个人全部财产。被告人上诉后,广东省高级人民法院将此案发回重审。</w:t>
      </w:r>
      <w:r>
        <w:rPr>
          <w:rFonts w:hint="eastAsia" w:ascii="宋体" w:hAnsi="宋体" w:eastAsia="宋体" w:cs="宋体"/>
          <w:sz w:val="18"/>
          <w:szCs w:val="18"/>
          <w:lang w:eastAsia="zh-CN"/>
        </w:rPr>
        <w:t>最终判</w:t>
      </w:r>
      <w:r>
        <w:rPr>
          <w:rFonts w:hint="eastAsia" w:ascii="宋体" w:hAnsi="宋体" w:eastAsia="宋体" w:cs="宋体"/>
          <w:sz w:val="18"/>
          <w:szCs w:val="18"/>
          <w:lang w:val="en-US" w:eastAsia="zh-CN"/>
        </w:rPr>
        <w:t>决许霆犯盗窃罪，判处有期徒刑 5 年，并处罚金 2 万元，追缴许霆的犯罪所得 173 826 元，发还受害单位"。</w:t>
      </w:r>
    </w:p>
  </w:footnote>
  <w:footnote w:id="105">
    <w:p>
      <w:pPr>
        <w:pStyle w:val="7"/>
        <w:snapToGrid w:val="0"/>
        <w:rPr>
          <w:rFonts w:hint="eastAsia" w:ascii="宋体" w:hAnsi="宋体" w:eastAsia="宋体" w:cs="宋体"/>
          <w:sz w:val="18"/>
          <w:szCs w:val="18"/>
        </w:rPr>
      </w:pPr>
      <w:r>
        <w:rPr>
          <w:rStyle w:val="12"/>
          <w:rFonts w:hint="default" w:ascii="Times New Roman" w:hAnsi="Times New Roman" w:eastAsia="宋体" w:cs="Times New Roman"/>
          <w:sz w:val="18"/>
          <w:szCs w:val="18"/>
        </w:rPr>
        <w:t>[</w:t>
      </w:r>
      <w:r>
        <w:rPr>
          <w:rStyle w:val="12"/>
          <w:rFonts w:hint="default" w:ascii="Times New Roman" w:hAnsi="Times New Roman" w:eastAsia="宋体" w:cs="Times New Roman"/>
          <w:sz w:val="18"/>
          <w:szCs w:val="18"/>
        </w:rPr>
        <w:footnoteRef/>
      </w:r>
      <w:r>
        <w:rPr>
          <w:rStyle w:val="12"/>
          <w:rFonts w:hint="default" w:ascii="Times New Roman" w:hAnsi="Times New Roman" w:eastAsia="宋体" w:cs="Times New Roman"/>
          <w:sz w:val="18"/>
          <w:szCs w:val="18"/>
        </w:rPr>
        <w:t>]</w:t>
      </w:r>
      <w:r>
        <w:rPr>
          <w:rFonts w:hint="eastAsia" w:ascii="宋体" w:hAnsi="宋体" w:eastAsia="宋体" w:cs="宋体"/>
          <w:sz w:val="18"/>
          <w:szCs w:val="18"/>
        </w:rPr>
        <w:t xml:space="preserve"> </w:t>
      </w:r>
      <w:r>
        <w:rPr>
          <w:rFonts w:hint="eastAsia" w:ascii="宋体" w:hAnsi="宋体" w:eastAsia="宋体" w:cs="宋体"/>
          <w:sz w:val="18"/>
          <w:szCs w:val="18"/>
          <w:lang w:eastAsia="zh-CN"/>
        </w:rPr>
        <w:t>时事评点，</w:t>
      </w:r>
      <w:r>
        <w:rPr>
          <w:rFonts w:hint="eastAsia" w:ascii="宋体" w:hAnsi="宋体" w:eastAsia="宋体" w:cs="宋体"/>
          <w:sz w:val="18"/>
          <w:szCs w:val="18"/>
          <w:lang w:val="en-US" w:eastAsia="zh-CN"/>
        </w:rPr>
        <w:t>（沙牧 评点）</w:t>
      </w:r>
    </w:p>
  </w:footnote>
  <w:footnote w:id="106">
    <w:p>
      <w:pPr>
        <w:pStyle w:val="7"/>
        <w:snapToGrid w:val="0"/>
        <w:rPr>
          <w:rFonts w:hint="eastAsia" w:ascii="宋体" w:hAnsi="宋体" w:eastAsia="宋体" w:cs="宋体"/>
          <w:sz w:val="18"/>
          <w:szCs w:val="18"/>
        </w:rPr>
      </w:pPr>
      <w:r>
        <w:rPr>
          <w:rStyle w:val="12"/>
          <w:rFonts w:hint="default" w:ascii="Times New Roman" w:hAnsi="Times New Roman" w:eastAsia="宋体" w:cs="Times New Roman"/>
          <w:sz w:val="18"/>
          <w:szCs w:val="18"/>
        </w:rPr>
        <w:t>[</w:t>
      </w:r>
      <w:r>
        <w:rPr>
          <w:rStyle w:val="12"/>
          <w:rFonts w:hint="default" w:ascii="Times New Roman" w:hAnsi="Times New Roman" w:eastAsia="宋体" w:cs="Times New Roman"/>
          <w:sz w:val="18"/>
          <w:szCs w:val="18"/>
        </w:rPr>
        <w:footnoteRef/>
      </w:r>
      <w:r>
        <w:rPr>
          <w:rStyle w:val="12"/>
          <w:rFonts w:hint="default" w:ascii="Times New Roman" w:hAnsi="Times New Roman" w:eastAsia="宋体" w:cs="Times New Roman"/>
          <w:sz w:val="18"/>
          <w:szCs w:val="18"/>
        </w:rPr>
        <w:t>]</w:t>
      </w:r>
      <w:r>
        <w:rPr>
          <w:rFonts w:hint="eastAsia" w:ascii="宋体" w:hAnsi="宋体" w:eastAsia="宋体" w:cs="宋体"/>
          <w:sz w:val="18"/>
          <w:szCs w:val="18"/>
        </w:rPr>
        <w:t xml:space="preserve"> </w:t>
      </w:r>
      <w:r>
        <w:rPr>
          <w:rFonts w:hint="eastAsia" w:ascii="宋体" w:hAnsi="宋体" w:eastAsia="宋体" w:cs="宋体"/>
          <w:sz w:val="18"/>
          <w:szCs w:val="18"/>
          <w:lang w:eastAsia="zh-CN"/>
        </w:rPr>
        <w:t>吴志攀：</w:t>
      </w:r>
      <w:r>
        <w:rPr>
          <w:rFonts w:hint="eastAsia" w:ascii="宋体" w:hAnsi="宋体" w:eastAsia="宋体" w:cs="宋体"/>
          <w:sz w:val="18"/>
          <w:szCs w:val="18"/>
          <w:lang w:val="en-US" w:eastAsia="zh-CN"/>
        </w:rPr>
        <w:t>《金融法概论》，北京大学出版社，第五版，第123页。</w:t>
      </w:r>
    </w:p>
  </w:footnote>
  <w:footnote w:id="107">
    <w:p>
      <w:pPr>
        <w:pStyle w:val="7"/>
        <w:snapToGrid w:val="0"/>
        <w:rPr>
          <w:rFonts w:hint="eastAsia" w:ascii="宋体" w:hAnsi="宋体" w:eastAsia="宋体" w:cs="宋体"/>
          <w:b w:val="0"/>
          <w:bCs w:val="0"/>
          <w:sz w:val="18"/>
          <w:szCs w:val="18"/>
          <w:lang w:val="en-US" w:eastAsia="zh-CN"/>
        </w:rPr>
      </w:pPr>
      <w:r>
        <w:rPr>
          <w:rStyle w:val="12"/>
          <w:rFonts w:hint="default" w:ascii="Times New Roman" w:hAnsi="Times New Roman" w:eastAsia="宋体" w:cs="Times New Roman"/>
          <w:sz w:val="18"/>
          <w:szCs w:val="18"/>
        </w:rPr>
        <w:t>[</w:t>
      </w:r>
      <w:r>
        <w:rPr>
          <w:rStyle w:val="12"/>
          <w:rFonts w:hint="default" w:ascii="Times New Roman" w:hAnsi="Times New Roman" w:eastAsia="宋体" w:cs="Times New Roman"/>
          <w:sz w:val="18"/>
          <w:szCs w:val="18"/>
        </w:rPr>
        <w:footnoteRef/>
      </w:r>
      <w:r>
        <w:rPr>
          <w:rStyle w:val="12"/>
          <w:rFonts w:hint="default" w:ascii="Times New Roman" w:hAnsi="Times New Roman" w:eastAsia="宋体" w:cs="Times New Roman"/>
          <w:sz w:val="18"/>
          <w:szCs w:val="18"/>
        </w:rPr>
        <w:t>]</w:t>
      </w:r>
      <w:r>
        <w:rPr>
          <w:rFonts w:hint="default" w:ascii="Times New Roman" w:hAnsi="Times New Roman" w:eastAsia="宋体" w:cs="Times New Roman"/>
          <w:sz w:val="18"/>
          <w:szCs w:val="18"/>
        </w:rPr>
        <w:t xml:space="preserve"> </w:t>
      </w:r>
      <w:r>
        <w:rPr>
          <w:rFonts w:hint="eastAsia" w:ascii="宋体" w:hAnsi="宋体" w:eastAsia="宋体" w:cs="宋体"/>
          <w:b w:val="0"/>
          <w:bCs w:val="0"/>
          <w:sz w:val="18"/>
          <w:szCs w:val="18"/>
          <w:lang w:val="en-US" w:eastAsia="zh-CN"/>
        </w:rPr>
        <w:t>王国卫：《银行法学》，法律出版社，第103-108页。</w:t>
      </w:r>
    </w:p>
  </w:footnote>
  <w:footnote w:id="108">
    <w:p>
      <w:pPr>
        <w:pStyle w:val="7"/>
        <w:snapToGrid w:val="0"/>
        <w:rPr>
          <w:rFonts w:hint="eastAsia" w:ascii="宋体" w:hAnsi="宋体" w:eastAsia="宋体" w:cs="宋体"/>
        </w:rPr>
      </w:pPr>
      <w:r>
        <w:rPr>
          <w:rStyle w:val="12"/>
          <w:rFonts w:hint="default" w:ascii="Times New Roman" w:hAnsi="Times New Roman" w:eastAsia="宋体" w:cs="Times New Roman"/>
        </w:rPr>
        <w:t>[</w:t>
      </w:r>
      <w:r>
        <w:rPr>
          <w:rStyle w:val="12"/>
          <w:rFonts w:hint="default" w:ascii="Times New Roman" w:hAnsi="Times New Roman" w:eastAsia="宋体" w:cs="Times New Roman"/>
        </w:rPr>
        <w:footnoteRef/>
      </w:r>
      <w:r>
        <w:rPr>
          <w:rStyle w:val="12"/>
          <w:rFonts w:hint="default" w:ascii="Times New Roman" w:hAnsi="Times New Roman" w:eastAsia="宋体" w:cs="Times New Roman"/>
        </w:rPr>
        <w:t>]</w:t>
      </w:r>
      <w:r>
        <w:rPr>
          <w:rFonts w:hint="eastAsia" w:ascii="宋体" w:hAnsi="宋体" w:eastAsia="宋体" w:cs="宋体"/>
        </w:rPr>
        <w:t xml:space="preserve"> </w:t>
      </w:r>
      <w:r>
        <w:rPr>
          <w:rFonts w:hint="eastAsia" w:ascii="宋体" w:hAnsi="宋体" w:eastAsia="宋体" w:cs="宋体"/>
          <w:lang w:eastAsia="zh-CN"/>
        </w:rPr>
        <w:t>吴志攀：</w:t>
      </w:r>
      <w:r>
        <w:rPr>
          <w:rFonts w:hint="eastAsia" w:ascii="宋体" w:hAnsi="宋体" w:eastAsia="宋体" w:cs="宋体"/>
          <w:lang w:val="en-US" w:eastAsia="zh-CN"/>
        </w:rPr>
        <w:t>《金融法概论》，北京大学出版社，第五版，第131页。</w:t>
      </w:r>
    </w:p>
  </w:footnote>
  <w:footnote w:id="109">
    <w:p>
      <w:pPr>
        <w:pStyle w:val="7"/>
        <w:snapToGrid w:val="0"/>
        <w:rPr>
          <w:rFonts w:hint="eastAsia" w:ascii="宋体" w:hAnsi="宋体" w:eastAsia="宋体" w:cs="宋体"/>
        </w:rPr>
      </w:pPr>
      <w:r>
        <w:rPr>
          <w:rStyle w:val="12"/>
          <w:rFonts w:hint="default" w:ascii="Times New Roman" w:hAnsi="Times New Roman" w:eastAsia="宋体" w:cs="Times New Roman"/>
        </w:rPr>
        <w:t>[</w:t>
      </w:r>
      <w:r>
        <w:rPr>
          <w:rStyle w:val="12"/>
          <w:rFonts w:hint="default" w:ascii="Times New Roman" w:hAnsi="Times New Roman" w:eastAsia="宋体" w:cs="Times New Roman"/>
        </w:rPr>
        <w:footnoteRef/>
      </w:r>
      <w:r>
        <w:rPr>
          <w:rStyle w:val="12"/>
          <w:rFonts w:hint="default" w:ascii="Times New Roman" w:hAnsi="Times New Roman" w:eastAsia="宋体" w:cs="Times New Roman"/>
        </w:rPr>
        <w:t>]</w:t>
      </w:r>
      <w:r>
        <w:rPr>
          <w:rFonts w:hint="default" w:ascii="Times New Roman" w:hAnsi="Times New Roman" w:eastAsia="宋体" w:cs="Times New Roman"/>
        </w:rPr>
        <w:t xml:space="preserve"> </w:t>
      </w:r>
      <w:r>
        <w:rPr>
          <w:rFonts w:hint="eastAsia" w:ascii="宋体" w:hAnsi="宋体" w:eastAsia="宋体" w:cs="宋体"/>
          <w:lang w:eastAsia="zh-CN"/>
        </w:rPr>
        <w:t>黄立、</w:t>
      </w:r>
      <w:r>
        <w:rPr>
          <w:rFonts w:hint="eastAsia" w:ascii="宋体" w:hAnsi="宋体" w:eastAsia="宋体" w:cs="宋体"/>
          <w:lang w:val="en-US" w:eastAsia="zh-CN"/>
        </w:rPr>
        <w:t>何田田：比较法视野中的ATM——以许霆案为研究线索 ，法学杂志 2008年第3期。</w:t>
      </w:r>
    </w:p>
  </w:footnote>
  <w:footnote w:id="110">
    <w:p>
      <w:pPr>
        <w:pStyle w:val="7"/>
        <w:snapToGrid w:val="0"/>
        <w:rPr>
          <w:rFonts w:hint="eastAsia" w:ascii="宋体" w:hAnsi="宋体" w:eastAsia="宋体" w:cs="宋体"/>
        </w:rPr>
      </w:pPr>
      <w:r>
        <w:rPr>
          <w:rStyle w:val="12"/>
          <w:rFonts w:hint="default" w:ascii="Times New Roman" w:hAnsi="Times New Roman" w:eastAsia="宋体" w:cs="Times New Roman"/>
        </w:rPr>
        <w:t>[</w:t>
      </w:r>
      <w:r>
        <w:rPr>
          <w:rStyle w:val="12"/>
          <w:rFonts w:hint="default" w:ascii="Times New Roman" w:hAnsi="Times New Roman" w:eastAsia="宋体" w:cs="Times New Roman"/>
        </w:rPr>
        <w:footnoteRef/>
      </w:r>
      <w:r>
        <w:rPr>
          <w:rStyle w:val="12"/>
          <w:rFonts w:hint="default" w:ascii="Times New Roman" w:hAnsi="Times New Roman" w:eastAsia="宋体" w:cs="Times New Roman"/>
        </w:rPr>
        <w:t>]</w:t>
      </w:r>
      <w:r>
        <w:rPr>
          <w:rFonts w:hint="eastAsia" w:ascii="宋体" w:hAnsi="宋体" w:eastAsia="宋体" w:cs="宋体"/>
        </w:rPr>
        <w:t xml:space="preserve"> </w:t>
      </w:r>
      <w:r>
        <w:rPr>
          <w:rFonts w:hint="eastAsia" w:ascii="宋体" w:hAnsi="宋体" w:eastAsia="宋体" w:cs="宋体"/>
          <w:lang w:eastAsia="zh-CN"/>
        </w:rPr>
        <w:t>美国</w:t>
      </w:r>
      <w:r>
        <w:rPr>
          <w:rFonts w:hint="eastAsia" w:ascii="宋体" w:hAnsi="宋体" w:eastAsia="宋体" w:cs="宋体"/>
          <w:lang w:val="en-US" w:eastAsia="zh-CN"/>
        </w:rPr>
        <w:t>1978年《电子资金划拨法》适用于联储电划系统与消费电子资金划拨，成为世界上最早出台的有关电子支付的专项立法。该法规定，电子资金划拨是通过电子终端、电话、电传设施，计算机、磁盘等命令、指示或委托金融机构向某个账户付款或从某个账户提款；零售商店的电子销售安排、银行的自动提款机交易、银行客户通过电子设施进行的直接存款或提款等，均为“电子资金划拨”。该法将银行的客户看做消费者，侧重保护客户的权益和利益。</w:t>
      </w:r>
    </w:p>
  </w:footnote>
  <w:footnote w:id="111">
    <w:p>
      <w:pPr>
        <w:pStyle w:val="7"/>
        <w:snapToGrid w:val="0"/>
        <w:rPr>
          <w:rFonts w:hint="eastAsia" w:ascii="宋体" w:hAnsi="宋体" w:eastAsia="宋体" w:cs="宋体"/>
        </w:rPr>
      </w:pPr>
      <w:r>
        <w:rPr>
          <w:rStyle w:val="12"/>
          <w:rFonts w:hint="default" w:ascii="Times New Roman" w:hAnsi="Times New Roman" w:eastAsia="宋体" w:cs="Times New Roman"/>
        </w:rPr>
        <w:t>[</w:t>
      </w:r>
      <w:r>
        <w:rPr>
          <w:rStyle w:val="12"/>
          <w:rFonts w:hint="default" w:ascii="Times New Roman" w:hAnsi="Times New Roman" w:eastAsia="宋体" w:cs="Times New Roman"/>
        </w:rPr>
        <w:footnoteRef/>
      </w:r>
      <w:r>
        <w:rPr>
          <w:rStyle w:val="12"/>
          <w:rFonts w:hint="default" w:ascii="Times New Roman" w:hAnsi="Times New Roman" w:eastAsia="宋体" w:cs="Times New Roman"/>
        </w:rPr>
        <w:t>]</w:t>
      </w:r>
      <w:r>
        <w:rPr>
          <w:rFonts w:hint="default" w:ascii="Times New Roman" w:hAnsi="Times New Roman" w:eastAsia="宋体" w:cs="Times New Roman"/>
        </w:rPr>
        <w:t xml:space="preserve"> </w:t>
      </w:r>
      <w:r>
        <w:rPr>
          <w:rFonts w:hint="eastAsia" w:ascii="宋体" w:hAnsi="宋体" w:eastAsia="宋体" w:cs="宋体"/>
          <w:lang w:eastAsia="zh-CN"/>
        </w:rPr>
        <w:t>与美国《电子资金划拨法》一样，有很强的保护客户的倾向。只适用于个人客户，不适用于公司、合伙等。</w:t>
      </w:r>
    </w:p>
  </w:footnote>
  <w:footnote w:id="112">
    <w:p>
      <w:pPr>
        <w:pStyle w:val="7"/>
        <w:rPr>
          <w:rStyle w:val="12"/>
        </w:rPr>
      </w:pPr>
      <w:r>
        <w:t xml:space="preserve">* </w:t>
      </w:r>
      <w:r>
        <w:rPr>
          <w:rFonts w:hint="eastAsia"/>
        </w:rPr>
        <w:t>薛条英：浙江绍兴人，上海政</w:t>
      </w:r>
      <w:r>
        <w:rPr>
          <w:rFonts w:hint="eastAsia" w:ascii="宋体" w:hAnsi="宋体"/>
        </w:rPr>
        <w:t>法学院</w:t>
      </w:r>
      <w:r>
        <w:rPr>
          <w:rFonts w:ascii="宋体" w:hAnsi="宋体"/>
        </w:rPr>
        <w:t>2015</w:t>
      </w:r>
      <w:r>
        <w:rPr>
          <w:rFonts w:hint="eastAsia" w:ascii="宋体" w:hAnsi="宋体"/>
        </w:rPr>
        <w:t>级研究生，法律硕士（法学）专业。</w:t>
      </w:r>
    </w:p>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rPr>
        <w:fldChar w:fldCharType="begin"/>
      </w:r>
      <w:r>
        <w:rPr>
          <w:rFonts w:hint="eastAsia"/>
        </w:rPr>
        <w:instrText xml:space="preserve"> HYPERLINK "http://acwf.people.com.cn/n/2014/0103/c99038-24017997.html" </w:instrText>
      </w:r>
      <w:r>
        <w:rPr>
          <w:rFonts w:hint="eastAsia"/>
        </w:rPr>
        <w:fldChar w:fldCharType="separate"/>
      </w:r>
      <w:r>
        <w:rPr>
          <w:rFonts w:hint="eastAsia"/>
        </w:rPr>
        <w:t>http://acwf.people.com.cn/n/2014/0103/c99038-24017997.html</w:t>
      </w:r>
      <w:r>
        <w:rPr>
          <w:rFonts w:hint="eastAsia"/>
        </w:rPr>
        <w:fldChar w:fldCharType="end"/>
      </w:r>
      <w:r>
        <w:rPr>
          <w:rFonts w:hint="eastAsia"/>
        </w:rPr>
        <w:t>，</w:t>
      </w:r>
      <w:r>
        <w:rPr>
          <w:rFonts w:hint="eastAsia" w:ascii="Times New Roman" w:hAnsi="Times New Roman"/>
        </w:rPr>
        <w:t>人民网。</w:t>
      </w:r>
    </w:p>
  </w:footnote>
  <w:footnote w:id="113">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ascii="Times New Roman" w:hAnsi="Times New Roman"/>
        </w:rPr>
        <w:t>[</w:t>
      </w:r>
      <w:r>
        <w:rPr>
          <w:rFonts w:hint="eastAsia" w:ascii="Times New Roman" w:hAnsi="Times New Roman"/>
        </w:rPr>
        <w:t>美</w:t>
      </w:r>
      <w:r>
        <w:rPr>
          <w:rFonts w:ascii="Times New Roman" w:hAnsi="Times New Roman"/>
        </w:rPr>
        <w:t xml:space="preserve">] </w:t>
      </w:r>
      <w:r>
        <w:rPr>
          <w:rFonts w:hint="eastAsia" w:ascii="Times New Roman" w:hAnsi="Times New Roman"/>
        </w:rPr>
        <w:t>爱伦·艾德曼、卡洛琳·肯尼迪：《隐私的权利》，吴懿婷译，</w:t>
      </w:r>
      <w:r>
        <w:rPr>
          <w:rFonts w:ascii="Times New Roman" w:hAnsi="Times New Roman"/>
        </w:rPr>
        <w:t xml:space="preserve"> </w:t>
      </w:r>
      <w:r>
        <w:rPr>
          <w:rFonts w:hint="eastAsia" w:ascii="Times New Roman" w:hAnsi="Times New Roman"/>
        </w:rPr>
        <w:t>当代世界出版</w:t>
      </w:r>
      <w:r>
        <w:rPr>
          <w:rFonts w:hint="eastAsia" w:ascii="宋体" w:hAnsi="宋体"/>
        </w:rPr>
        <w:t>社，</w:t>
      </w:r>
      <w:r>
        <w:rPr>
          <w:rFonts w:ascii="宋体" w:hAnsi="宋体"/>
        </w:rPr>
        <w:t>2003</w:t>
      </w:r>
      <w:r>
        <w:rPr>
          <w:rFonts w:hint="eastAsia" w:ascii="宋体" w:hAnsi="宋体"/>
        </w:rPr>
        <w:t>年，第</w:t>
      </w:r>
      <w:r>
        <w:rPr>
          <w:rFonts w:ascii="宋体" w:hAnsi="宋体"/>
        </w:rPr>
        <w:t>74</w:t>
      </w:r>
      <w:r>
        <w:rPr>
          <w:rFonts w:hint="eastAsia" w:ascii="Times New Roman" w:hAnsi="Times New Roman"/>
        </w:rPr>
        <w:t>页。</w:t>
      </w:r>
    </w:p>
  </w:footnote>
  <w:footnote w:id="114">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ascii="Times New Roman" w:hAnsi="Times New Roman"/>
        </w:rPr>
        <w:t>John Bologna Krentel.The Louisiana</w:t>
      </w:r>
      <w:r>
        <w:rPr>
          <w:rFonts w:hint="eastAsia" w:ascii="Times New Roman" w:hAnsi="Times New Roman"/>
        </w:rPr>
        <w:t>“</w:t>
      </w:r>
      <w:r>
        <w:rPr>
          <w:rFonts w:ascii="Times New Roman" w:hAnsi="Times New Roman"/>
        </w:rPr>
        <w:t>Human Embryo</w:t>
      </w:r>
      <w:r>
        <w:rPr>
          <w:rFonts w:hint="eastAsia" w:ascii="Times New Roman" w:hAnsi="Times New Roman"/>
        </w:rPr>
        <w:t>”</w:t>
      </w:r>
      <w:r>
        <w:rPr>
          <w:rFonts w:ascii="Times New Roman" w:hAnsi="Times New Roman"/>
        </w:rPr>
        <w:t xml:space="preserve"> Statute Revisited:Reasonable Recognition and Protection for the in VitroFertilized Ovum [ J] .Loyola Law Review, (45)</w:t>
      </w:r>
      <w:r>
        <w:rPr>
          <w:rFonts w:hint="eastAsia" w:ascii="Times New Roman" w:hAnsi="Times New Roman"/>
        </w:rPr>
        <w:t>。</w:t>
      </w:r>
    </w:p>
  </w:footnote>
  <w:footnote w:id="115">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ascii="Times New Roman" w:hAnsi="Times New Roman"/>
        </w:rPr>
        <w:t>徐国栋：《体外受精胎胚的法律地位研究》，法制与社会发展（双月刊），</w:t>
      </w:r>
      <w:r>
        <w:rPr>
          <w:rFonts w:ascii="Times New Roman" w:hAnsi="Times New Roman"/>
        </w:rPr>
        <w:t xml:space="preserve"> </w:t>
      </w:r>
      <w:r>
        <w:rPr>
          <w:rFonts w:ascii="宋体" w:hAnsi="宋体"/>
        </w:rPr>
        <w:t>2005</w:t>
      </w:r>
      <w:r>
        <w:rPr>
          <w:rFonts w:hint="eastAsia" w:ascii="宋体" w:hAnsi="宋体"/>
        </w:rPr>
        <w:t>年第</w:t>
      </w:r>
      <w:r>
        <w:rPr>
          <w:rFonts w:ascii="宋体" w:hAnsi="宋体"/>
        </w:rPr>
        <w:t>5</w:t>
      </w:r>
      <w:r>
        <w:rPr>
          <w:rFonts w:hint="eastAsia" w:ascii="宋体" w:hAnsi="宋体"/>
        </w:rPr>
        <w:t>期。</w:t>
      </w:r>
    </w:p>
  </w:footnote>
  <w:footnote w:id="116">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ascii="Times New Roman" w:hAnsi="Times New Roman"/>
        </w:rPr>
        <w:t xml:space="preserve"> Jeremy L. Fetty.A “Fertile</w:t>
      </w:r>
      <w:r>
        <w:rPr>
          <w:rFonts w:hint="eastAsia" w:ascii="Times New Roman" w:hAnsi="Times New Roman"/>
        </w:rPr>
        <w:t>”</w:t>
      </w:r>
      <w:r>
        <w:rPr>
          <w:rFonts w:ascii="Times New Roman" w:hAnsi="Times New Roman"/>
        </w:rPr>
        <w:t xml:space="preserve"> Question: Are Contracts Regarding the Disposition of Frozen Preembryos Worth the Paper upon Which They are Written?[J].L.Rev.M.S.U.-D.C.L.,2001</w:t>
      </w:r>
      <w:r>
        <w:rPr>
          <w:rFonts w:hint="eastAsia" w:ascii="Times New Roman" w:hAnsi="Times New Roman"/>
        </w:rPr>
        <w:t>。</w:t>
      </w:r>
    </w:p>
  </w:footnote>
  <w:footnote w:id="117">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ascii="Times New Roman" w:hAnsi="Times New Roman"/>
        </w:rPr>
        <w:t xml:space="preserve">Michael J.Bastian .Protection of </w:t>
      </w:r>
      <w:r>
        <w:rPr>
          <w:rFonts w:hint="eastAsia" w:ascii="Times New Roman" w:hAnsi="Times New Roman"/>
        </w:rPr>
        <w:t>“</w:t>
      </w:r>
      <w:r>
        <w:rPr>
          <w:rFonts w:ascii="Times New Roman" w:hAnsi="Times New Roman"/>
        </w:rPr>
        <w:t>Noncreative</w:t>
      </w:r>
      <w:r>
        <w:rPr>
          <w:rFonts w:hint="eastAsia" w:ascii="Times New Roman" w:hAnsi="Times New Roman"/>
        </w:rPr>
        <w:t>”</w:t>
      </w:r>
      <w:r>
        <w:rPr>
          <w:rFonts w:ascii="Times New Roman" w:hAnsi="Times New Roman"/>
        </w:rPr>
        <w:t xml:space="preserve"> Databases:Harmonization of United States, Foreign and nternational Law [ J] .Boston College International and Com parative Law Review, (22). </w:t>
      </w:r>
      <w:r>
        <w:rPr>
          <w:rFonts w:hint="eastAsia" w:ascii="宋体" w:hAnsi="宋体"/>
        </w:rPr>
        <w:t>第</w:t>
      </w:r>
      <w:r>
        <w:rPr>
          <w:rFonts w:ascii="宋体" w:hAnsi="宋体"/>
        </w:rPr>
        <w:t>425</w:t>
      </w:r>
      <w:r>
        <w:rPr>
          <w:rFonts w:hint="eastAsia" w:ascii="宋体" w:hAnsi="宋体"/>
        </w:rPr>
        <w:t>页</w:t>
      </w:r>
      <w:r>
        <w:rPr>
          <w:rFonts w:hint="eastAsia" w:ascii="Times New Roman" w:hAnsi="Times New Roman"/>
        </w:rPr>
        <w:t>。</w:t>
      </w:r>
    </w:p>
  </w:footnote>
  <w:footnote w:id="118">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ascii="Times New Roman" w:hAnsi="Times New Roman"/>
        </w:rPr>
        <w:t xml:space="preserve">Radhika Rao.Property , Privacy, and the Human Body [ J] .Boston University Law Review, (80). </w:t>
      </w:r>
      <w:r>
        <w:rPr>
          <w:rFonts w:hint="eastAsia" w:ascii="宋体" w:hAnsi="宋体"/>
        </w:rPr>
        <w:t>第</w:t>
      </w:r>
      <w:r>
        <w:rPr>
          <w:rFonts w:ascii="宋体" w:hAnsi="宋体"/>
        </w:rPr>
        <w:t>416</w:t>
      </w:r>
      <w:r>
        <w:rPr>
          <w:rFonts w:hint="eastAsia" w:ascii="宋体" w:hAnsi="宋体"/>
        </w:rPr>
        <w:t>页。</w:t>
      </w:r>
    </w:p>
  </w:footnote>
  <w:footnote w:id="119">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ascii="Times New Roman" w:hAnsi="Times New Roman"/>
        </w:rPr>
        <w:t>叶名怡：《法国法上的人工胚胎》，华东政法大学学报</w:t>
      </w:r>
      <w:r>
        <w:rPr>
          <w:rFonts w:hint="eastAsia" w:ascii="宋体" w:hAnsi="宋体"/>
        </w:rPr>
        <w:t>，</w:t>
      </w:r>
      <w:r>
        <w:rPr>
          <w:rFonts w:ascii="宋体" w:hAnsi="宋体"/>
        </w:rPr>
        <w:t>2015</w:t>
      </w:r>
      <w:r>
        <w:rPr>
          <w:rFonts w:hint="eastAsia" w:ascii="宋体" w:hAnsi="宋体"/>
        </w:rPr>
        <w:t>年第</w:t>
      </w:r>
      <w:r>
        <w:rPr>
          <w:rFonts w:ascii="宋体" w:hAnsi="宋体"/>
        </w:rPr>
        <w:t>5</w:t>
      </w:r>
      <w:r>
        <w:rPr>
          <w:rFonts w:hint="eastAsia" w:ascii="宋体" w:hAnsi="宋体"/>
        </w:rPr>
        <w:t>期。</w:t>
      </w:r>
    </w:p>
  </w:footnote>
  <w:footnote w:id="120">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ascii="Times New Roman" w:hAnsi="Times New Roman"/>
        </w:rPr>
        <w:t>M. Herzog-Evans, «Homme, homme juridique et humanit</w:t>
      </w:r>
      <w:r>
        <w:rPr>
          <w:rFonts w:hint="eastAsia" w:ascii="Times New Roman" w:hAnsi="Times New Roman"/>
        </w:rPr>
        <w:t>é</w:t>
      </w:r>
      <w:r>
        <w:rPr>
          <w:rFonts w:ascii="Times New Roman" w:hAnsi="Times New Roman"/>
        </w:rPr>
        <w:t xml:space="preserve"> de l'embryon", RTD civ. 2000, p. 72</w:t>
      </w:r>
      <w:r>
        <w:rPr>
          <w:rFonts w:hint="eastAsia" w:ascii="Times New Roman" w:hAnsi="Times New Roman"/>
        </w:rPr>
        <w:t>。</w:t>
      </w:r>
    </w:p>
  </w:footnote>
  <w:footnote w:id="121">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ascii="Times New Roman" w:hAnsi="Times New Roman"/>
        </w:rPr>
        <w:t>P. Murat, «D</w:t>
      </w:r>
      <w:r>
        <w:rPr>
          <w:rFonts w:hint="eastAsia" w:ascii="Times New Roman" w:hAnsi="Times New Roman"/>
        </w:rPr>
        <w:t>é</w:t>
      </w:r>
      <w:r>
        <w:rPr>
          <w:rFonts w:ascii="Times New Roman" w:hAnsi="Times New Roman"/>
        </w:rPr>
        <w:t>c</w:t>
      </w:r>
      <w:r>
        <w:rPr>
          <w:rFonts w:hint="eastAsia" w:ascii="Times New Roman" w:hAnsi="Times New Roman"/>
        </w:rPr>
        <w:t>è</w:t>
      </w:r>
      <w:r>
        <w:rPr>
          <w:rFonts w:ascii="Times New Roman" w:hAnsi="Times New Roman"/>
        </w:rPr>
        <w:t>s p</w:t>
      </w:r>
      <w:r>
        <w:rPr>
          <w:rFonts w:hint="eastAsia" w:ascii="Times New Roman" w:hAnsi="Times New Roman"/>
        </w:rPr>
        <w:t>é</w:t>
      </w:r>
      <w:r>
        <w:rPr>
          <w:rFonts w:ascii="Times New Roman" w:hAnsi="Times New Roman"/>
        </w:rPr>
        <w:t>rinatal et individualisation juridique de l'</w:t>
      </w:r>
      <w:r>
        <w:rPr>
          <w:rFonts w:hint="eastAsia" w:ascii="Times New Roman" w:hAnsi="Times New Roman"/>
        </w:rPr>
        <w:t>ê</w:t>
      </w:r>
      <w:r>
        <w:rPr>
          <w:rFonts w:ascii="Times New Roman" w:hAnsi="Times New Roman"/>
        </w:rPr>
        <w:t>tre humain", RD sanit. soc. 1995, p. 467</w:t>
      </w:r>
      <w:r>
        <w:rPr>
          <w:rFonts w:hint="eastAsia" w:ascii="Times New Roman" w:hAnsi="Times New Roman"/>
        </w:rPr>
        <w:t>。</w:t>
      </w:r>
    </w:p>
  </w:footnote>
  <w:footnote w:id="122">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ascii="Times New Roman" w:hAnsi="Times New Roman"/>
        </w:rPr>
        <w:t xml:space="preserve">J. R. Binet, Juris Classeur Civil Code, Art. 16 </w:t>
      </w:r>
      <w:r>
        <w:rPr>
          <w:rFonts w:hint="eastAsia" w:ascii="Times New Roman" w:hAnsi="Times New Roman"/>
        </w:rPr>
        <w:t>à</w:t>
      </w:r>
      <w:r>
        <w:rPr>
          <w:rFonts w:ascii="Times New Roman" w:hAnsi="Times New Roman"/>
        </w:rPr>
        <w:t xml:space="preserve"> 16-13, Fasc. 10 : Protection de la Personne– Principes, no 93</w:t>
      </w:r>
      <w:r>
        <w:rPr>
          <w:rFonts w:hint="eastAsia" w:ascii="Times New Roman" w:hAnsi="Times New Roman"/>
        </w:rPr>
        <w:t>。</w:t>
      </w:r>
    </w:p>
  </w:footnote>
  <w:footnote w:id="123">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ascii="Times New Roman" w:hAnsi="Times New Roman"/>
        </w:rPr>
        <w:t>http://tech.qq.com/a/20140816/008217.htm</w:t>
      </w:r>
      <w:r>
        <w:rPr>
          <w:rFonts w:hint="eastAsia" w:ascii="Times New Roman" w:hAnsi="Times New Roman"/>
        </w:rPr>
        <w:t>。</w:t>
      </w:r>
    </w:p>
  </w:footnote>
  <w:footnote w:id="124">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Style w:val="12"/>
        </w:rPr>
        <w:t xml:space="preserve"> </w:t>
      </w:r>
      <w:r>
        <w:rPr>
          <w:rFonts w:hint="eastAsia" w:ascii="Times New Roman" w:hAnsi="Times New Roman"/>
        </w:rPr>
        <w:t>徐国栋：《体外受精胎胚的法律地位研究》，法制与社会发展，</w:t>
      </w:r>
      <w:r>
        <w:rPr>
          <w:rFonts w:ascii="宋体" w:hAnsi="宋体"/>
        </w:rPr>
        <w:t>2005</w:t>
      </w:r>
      <w:r>
        <w:rPr>
          <w:rFonts w:hint="eastAsia" w:ascii="宋体" w:hAnsi="宋体"/>
        </w:rPr>
        <w:t>年第</w:t>
      </w:r>
      <w:r>
        <w:rPr>
          <w:rFonts w:ascii="宋体" w:hAnsi="宋体"/>
        </w:rPr>
        <w:t>5</w:t>
      </w:r>
      <w:r>
        <w:rPr>
          <w:rFonts w:hint="eastAsia" w:ascii="宋体" w:hAnsi="宋体"/>
        </w:rPr>
        <w:t>期。</w:t>
      </w:r>
    </w:p>
  </w:footnote>
  <w:footnote w:id="125">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ascii="Times New Roman" w:hAnsi="Times New Roman"/>
        </w:rPr>
        <w:t xml:space="preserve"> </w:t>
      </w:r>
      <w:r>
        <w:rPr>
          <w:rFonts w:hint="eastAsia" w:ascii="Times New Roman" w:hAnsi="Times New Roman"/>
        </w:rPr>
        <w:t>梁慧星：《中国民法典草案建议稿附理由</w:t>
      </w:r>
      <w:r>
        <w:rPr>
          <w:rFonts w:ascii="Times New Roman" w:hAnsi="Times New Roman"/>
        </w:rPr>
        <w:t>-</w:t>
      </w:r>
      <w:r>
        <w:rPr>
          <w:rFonts w:hint="eastAsia" w:ascii="Times New Roman" w:hAnsi="Times New Roman"/>
        </w:rPr>
        <w:t>总则篇》，法律出版社</w:t>
      </w:r>
      <w:r>
        <w:rPr>
          <w:rFonts w:hint="eastAsia" w:ascii="宋体" w:hAnsi="宋体"/>
        </w:rPr>
        <w:t>，</w:t>
      </w:r>
      <w:r>
        <w:rPr>
          <w:rFonts w:ascii="宋体" w:hAnsi="宋体"/>
        </w:rPr>
        <w:t>2013</w:t>
      </w:r>
      <w:r>
        <w:rPr>
          <w:rFonts w:hint="eastAsia" w:ascii="宋体" w:hAnsi="宋体"/>
        </w:rPr>
        <w:t>年，第</w:t>
      </w:r>
      <w:r>
        <w:rPr>
          <w:rFonts w:ascii="宋体" w:hAnsi="宋体"/>
        </w:rPr>
        <w:t>190</w:t>
      </w:r>
      <w:r>
        <w:rPr>
          <w:rFonts w:hint="eastAsia" w:ascii="宋体" w:hAnsi="宋体"/>
        </w:rPr>
        <w:t>页</w:t>
      </w:r>
      <w:r>
        <w:rPr>
          <w:rFonts w:hint="eastAsia" w:ascii="Times New Roman" w:hAnsi="Times New Roman"/>
        </w:rPr>
        <w:t>。</w:t>
      </w:r>
    </w:p>
  </w:footnote>
  <w:footnote w:id="126">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ascii="Times New Roman" w:hAnsi="Times New Roman"/>
        </w:rPr>
        <w:t>李才华：《人胚胎的伦理地位》，科学技术哲学研究</w:t>
      </w:r>
      <w:r>
        <w:rPr>
          <w:rFonts w:hint="eastAsia" w:ascii="宋体" w:hAnsi="宋体"/>
        </w:rPr>
        <w:t>，</w:t>
      </w:r>
      <w:r>
        <w:rPr>
          <w:rFonts w:ascii="宋体" w:hAnsi="宋体"/>
        </w:rPr>
        <w:t>2010</w:t>
      </w:r>
      <w:r>
        <w:rPr>
          <w:rFonts w:hint="eastAsia" w:ascii="宋体" w:hAnsi="宋体"/>
        </w:rPr>
        <w:t>（</w:t>
      </w:r>
      <w:r>
        <w:rPr>
          <w:rFonts w:ascii="宋体" w:hAnsi="宋体"/>
        </w:rPr>
        <w:t>4</w:t>
      </w:r>
      <w:r>
        <w:rPr>
          <w:rFonts w:hint="eastAsia" w:ascii="宋体" w:hAnsi="宋体"/>
        </w:rPr>
        <w:t>）。</w:t>
      </w:r>
      <w:r>
        <w:rPr>
          <w:rFonts w:ascii="宋体"/>
        </w:rPr>
        <w:t>.</w:t>
      </w:r>
    </w:p>
  </w:footnote>
  <w:footnote w:id="127">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ascii="宋体" w:hAnsi="宋体"/>
        </w:rPr>
        <w:t xml:space="preserve"> </w:t>
      </w:r>
      <w:r>
        <w:rPr>
          <w:rFonts w:ascii="Times New Roman" w:hAnsi="Times New Roman"/>
        </w:rPr>
        <w:t>[</w:t>
      </w:r>
      <w:r>
        <w:rPr>
          <w:rFonts w:hint="eastAsia" w:ascii="Times New Roman" w:hAnsi="Times New Roman"/>
        </w:rPr>
        <w:t>日</w:t>
      </w:r>
      <w:r>
        <w:rPr>
          <w:rFonts w:ascii="Times New Roman" w:hAnsi="Times New Roman"/>
        </w:rPr>
        <w:t>]</w:t>
      </w:r>
      <w:r>
        <w:rPr>
          <w:rFonts w:hint="eastAsia" w:ascii="Times New Roman" w:hAnsi="Times New Roman"/>
        </w:rPr>
        <w:t>山田卓生：《私事与自己决定》，日本评论社，</w:t>
      </w:r>
      <w:r>
        <w:rPr>
          <w:rFonts w:ascii="宋体" w:hAnsi="宋体"/>
        </w:rPr>
        <w:t>1987</w:t>
      </w:r>
      <w:r>
        <w:rPr>
          <w:rFonts w:hint="eastAsia" w:ascii="宋体" w:hAnsi="宋体"/>
        </w:rPr>
        <w:t>年版，第</w:t>
      </w:r>
      <w:r>
        <w:rPr>
          <w:rFonts w:ascii="宋体" w:hAnsi="宋体"/>
        </w:rPr>
        <w:t>3</w:t>
      </w:r>
      <w:r>
        <w:rPr>
          <w:rFonts w:hint="eastAsia" w:ascii="宋体" w:hAnsi="宋体"/>
        </w:rPr>
        <w:t>页。</w:t>
      </w:r>
    </w:p>
  </w:footnote>
  <w:footnote w:id="128">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ascii="Times New Roman" w:hAnsi="Times New Roman"/>
        </w:rPr>
        <w:t>王利明：《人格权法研究》，中国人民大学出版社，</w:t>
      </w:r>
      <w:r>
        <w:rPr>
          <w:rFonts w:ascii="宋体" w:hAnsi="宋体"/>
        </w:rPr>
        <w:t>2012</w:t>
      </w:r>
      <w:r>
        <w:rPr>
          <w:rFonts w:hint="eastAsia" w:ascii="宋体" w:hAnsi="宋体"/>
        </w:rPr>
        <w:t>年版，第</w:t>
      </w:r>
      <w:r>
        <w:rPr>
          <w:rFonts w:ascii="宋体" w:hAnsi="宋体"/>
        </w:rPr>
        <w:t>167</w:t>
      </w:r>
      <w:r>
        <w:rPr>
          <w:rFonts w:hint="eastAsia" w:ascii="宋体" w:hAnsi="宋体"/>
        </w:rPr>
        <w:t>页。</w:t>
      </w:r>
    </w:p>
  </w:footnote>
  <w:footnote w:id="129">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ascii="Times New Roman" w:hAnsi="Times New Roman"/>
        </w:rPr>
        <w:t>黄丁全：《医疗法律与生命伦理》，法律出版社，</w:t>
      </w:r>
      <w:r>
        <w:rPr>
          <w:rFonts w:ascii="宋体" w:hAnsi="宋体"/>
        </w:rPr>
        <w:t>2007</w:t>
      </w:r>
      <w:r>
        <w:rPr>
          <w:rFonts w:hint="eastAsia" w:ascii="宋体" w:hAnsi="宋体"/>
        </w:rPr>
        <w:t>年版，第</w:t>
      </w:r>
      <w:r>
        <w:rPr>
          <w:rFonts w:ascii="宋体" w:hAnsi="宋体"/>
        </w:rPr>
        <w:t>436</w:t>
      </w:r>
      <w:r>
        <w:rPr>
          <w:rFonts w:hint="eastAsia" w:ascii="宋体" w:hAnsi="宋体"/>
        </w:rPr>
        <w:t>页。</w:t>
      </w:r>
    </w:p>
  </w:footnote>
  <w:footnote w:id="130">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eastAsia" w:ascii="Times New Roman" w:hAnsi="Times New Roman"/>
          <w:lang w:val="en-US" w:eastAsia="zh-CN"/>
        </w:rPr>
        <w:t xml:space="preserve"> </w:t>
      </w:r>
      <w:r>
        <w:rPr>
          <w:rFonts w:ascii="Times New Roman" w:hAnsi="Times New Roman"/>
        </w:rPr>
        <w:t>Roe v. Wade, 410 U. S.113(1973)</w:t>
      </w:r>
      <w:r>
        <w:rPr>
          <w:rFonts w:hint="eastAsia" w:ascii="Times New Roman" w:hAnsi="Times New Roman"/>
        </w:rPr>
        <w:t>。</w:t>
      </w:r>
    </w:p>
  </w:footnote>
  <w:footnote w:id="131">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ascii="Times New Roman" w:hAnsi="Times New Roman"/>
        </w:rPr>
        <w:t>王泽鉴：</w:t>
      </w:r>
      <w:r>
        <w:rPr>
          <w:rFonts w:hint="eastAsia" w:ascii="Times New Roman" w:hAnsi="Times New Roman"/>
          <w:color w:val="000000"/>
        </w:rPr>
        <w:t>《侵权行为法》，</w:t>
      </w:r>
      <w:r>
        <w:rPr>
          <w:rFonts w:hint="eastAsia" w:ascii="Times New Roman" w:hAnsi="Times New Roman"/>
        </w:rPr>
        <w:t>北京大学出版社</w:t>
      </w:r>
      <w:r>
        <w:rPr>
          <w:rFonts w:hint="eastAsia" w:ascii="宋体" w:hAnsi="宋体"/>
        </w:rPr>
        <w:t>，</w:t>
      </w:r>
      <w:r>
        <w:rPr>
          <w:rFonts w:ascii="宋体" w:hAnsi="宋体"/>
        </w:rPr>
        <w:t>2009</w:t>
      </w:r>
      <w:r>
        <w:rPr>
          <w:rFonts w:hint="eastAsia" w:ascii="宋体" w:hAnsi="宋体"/>
        </w:rPr>
        <w:t>年版，第</w:t>
      </w:r>
      <w:r>
        <w:rPr>
          <w:rFonts w:ascii="宋体" w:hAnsi="宋体"/>
        </w:rPr>
        <w:t>104</w:t>
      </w:r>
      <w:r>
        <w:rPr>
          <w:rFonts w:hint="eastAsia" w:ascii="宋体" w:hAnsi="宋体"/>
        </w:rPr>
        <w:t>页。</w:t>
      </w:r>
    </w:p>
  </w:footnote>
  <w:footnote w:id="132">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ascii="Times New Roman" w:hAnsi="Times New Roman"/>
        </w:rPr>
        <w:t>Para.1 of Sch.3 to the Human Fertilisation and Embryology Act 1990</w:t>
      </w:r>
      <w:r>
        <w:rPr>
          <w:rFonts w:hint="eastAsia" w:ascii="Times New Roman" w:hAnsi="Times New Roman"/>
        </w:rPr>
        <w:t>。</w:t>
      </w:r>
    </w:p>
  </w:footnote>
  <w:footnote w:id="133">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In re Marriage of Witten, 672 N.W.2d 768, 777, 778 (Iowa 2003)</w:t>
      </w:r>
      <w:r>
        <w:rPr>
          <w:rFonts w:hint="eastAsia"/>
        </w:rPr>
        <w:t>。</w:t>
      </w:r>
    </w:p>
  </w:footnote>
  <w:footnote w:id="134">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Para. 4 of Sch.3 to the Human Fertilisation and Embryology Act 1990</w:t>
      </w:r>
      <w:r>
        <w:rPr>
          <w:rFonts w:hint="eastAsia"/>
        </w:rPr>
        <w:t>。</w:t>
      </w:r>
    </w:p>
  </w:footnote>
  <w:footnote w:id="135">
    <w:p>
      <w:pPr>
        <w:pStyle w:val="7"/>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ascii="Times New Roman" w:hAnsi="Times New Roman"/>
        </w:rPr>
        <w:t>李燕、金根林：《冷冻胚胎的权利归属及权利行使规则研究》，人民司法应用，</w:t>
      </w:r>
      <w:r>
        <w:rPr>
          <w:rFonts w:ascii="宋体" w:hAnsi="宋体"/>
        </w:rPr>
        <w:t xml:space="preserve"> 2014</w:t>
      </w:r>
      <w:r>
        <w:rPr>
          <w:rFonts w:hint="eastAsia" w:ascii="宋体" w:hAnsi="宋体"/>
        </w:rPr>
        <w:t>（</w:t>
      </w:r>
      <w:r>
        <w:rPr>
          <w:rFonts w:ascii="宋体" w:hAnsi="宋体"/>
        </w:rPr>
        <w:t>13</w:t>
      </w:r>
      <w:r>
        <w:rPr>
          <w:rFonts w:hint="eastAsia" w:ascii="宋体" w:hAnsi="宋体"/>
        </w:rPr>
        <w:t>）。</w:t>
      </w:r>
    </w:p>
  </w:footnote>
  <w:footnote w:id="136">
    <w:p>
      <w:pPr>
        <w:pStyle w:val="7"/>
        <w:snapToGrid w:val="0"/>
      </w:pPr>
      <w:r>
        <w:rPr>
          <w:rStyle w:val="12"/>
        </w:rPr>
        <w:t>*</w:t>
      </w:r>
      <w:r>
        <w:t xml:space="preserve"> </w:t>
      </w:r>
      <w:r>
        <w:rPr>
          <w:rFonts w:hint="eastAsia" w:ascii="宋体" w:hAnsi="宋体" w:eastAsia="宋体" w:cs="宋体"/>
        </w:rPr>
        <w:t>张旭霞，上海政法学院2015级研究生，宪法学与行政法学专业，师从关保英教授。</w:t>
      </w:r>
    </w:p>
  </w:footnote>
  <w:footnote w:id="137">
    <w:p>
      <w:pPr>
        <w:pStyle w:val="7"/>
        <w:rPr>
          <w:rFonts w:ascii="宋体" w:hAnsi="宋体" w:eastAsia="宋体" w:cs="宋体"/>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eastAsia" w:ascii="宋体" w:hAnsi="宋体" w:eastAsia="宋体" w:cs="宋体"/>
        </w:rPr>
        <w:t xml:space="preserve"> [法]勒·达维：《法国行政法和英国行政法》，高鸿钧译，载《法学译丛》1984年第4期，第27页。</w:t>
      </w:r>
    </w:p>
    <w:p>
      <w:pPr>
        <w:pStyle w:val="7"/>
      </w:pPr>
    </w:p>
  </w:footnote>
  <w:footnote w:id="138">
    <w:p>
      <w:pPr>
        <w:pStyle w:val="7"/>
        <w:rPr>
          <w:rFonts w:ascii="宋体" w:hAnsi="宋体" w:eastAsia="宋体" w:cs="宋体"/>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eastAsia" w:ascii="宋体" w:hAnsi="宋体" w:eastAsia="宋体" w:cs="宋体"/>
        </w:rPr>
        <w:t xml:space="preserve"> 应松年：《中国行政程序法立法展望》，中国法学，2010年第2期。</w:t>
      </w:r>
    </w:p>
  </w:footnote>
  <w:footnote w:id="139">
    <w:p>
      <w:pPr>
        <w:pStyle w:val="7"/>
        <w:rPr>
          <w:rFonts w:ascii="宋体" w:hAnsi="宋体" w:eastAsia="宋体" w:cs="宋体"/>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eastAsia" w:ascii="宋体" w:hAnsi="宋体" w:eastAsia="宋体" w:cs="宋体"/>
        </w:rPr>
        <w:t xml:space="preserve"> 杨海坤，黄学贤：《中国行政程序法典化从比较法角度的研究》，法律出版社，1999年版。</w:t>
      </w:r>
    </w:p>
  </w:footnote>
  <w:footnote w:id="140">
    <w:p>
      <w:pPr>
        <w:pStyle w:val="7"/>
        <w:rPr>
          <w:rFonts w:ascii="宋体" w:hAnsi="宋体" w:eastAsia="宋体" w:cs="宋体"/>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eastAsia" w:ascii="宋体" w:hAnsi="宋体" w:eastAsia="宋体" w:cs="宋体"/>
        </w:rPr>
        <w:t xml:space="preserve"> 刘帅、徐健：《行政程序法的法律价值》，法学研究，2009.12（中）。</w:t>
      </w:r>
    </w:p>
  </w:footnote>
  <w:footnote w:id="141">
    <w:p>
      <w:pPr>
        <w:pStyle w:val="7"/>
        <w:rPr>
          <w:rFonts w:ascii="宋体" w:hAnsi="宋体" w:eastAsia="宋体" w:cs="宋体"/>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eastAsia" w:ascii="宋体" w:hAnsi="宋体" w:eastAsia="宋体" w:cs="宋体"/>
        </w:rPr>
        <w:t xml:space="preserve"> 章若龙、李积桓主编：《新编法理学》，华东师范人学出版社，1990年9月版，第221页。</w:t>
      </w:r>
    </w:p>
  </w:footnote>
  <w:footnote w:id="142">
    <w:p>
      <w:pPr>
        <w:pStyle w:val="7"/>
        <w:rPr>
          <w:rFonts w:ascii="宋体" w:hAnsi="宋体" w:eastAsia="宋体" w:cs="宋体"/>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eastAsia" w:ascii="宋体" w:hAnsi="宋体" w:eastAsia="宋体" w:cs="宋体"/>
        </w:rPr>
        <w:t>参见[英}弗里德利希·冯·哈耶克：《法律、立法与自山》(第一卷)，中国人百科全书出版社，2000年1月第1版，第57- 60页。</w:t>
      </w:r>
    </w:p>
  </w:footnote>
  <w:footnote w:id="143">
    <w:p>
      <w:pPr>
        <w:pStyle w:val="7"/>
        <w:rPr>
          <w:rFonts w:ascii="宋体" w:hAnsi="宋体" w:eastAsia="宋体" w:cs="宋体"/>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rPr>
          <w:rFonts w:hint="eastAsia" w:ascii="宋体" w:hAnsi="宋体" w:eastAsia="宋体" w:cs="宋体"/>
        </w:rPr>
        <w:t xml:space="preserve"> 杨建生：《行政程序法价值探析》，行政与法，2004.10。</w:t>
      </w:r>
    </w:p>
  </w:footnote>
  <w:footnote w:id="144">
    <w:p>
      <w:pPr>
        <w:pStyle w:val="7"/>
        <w:snapToGrid w:val="0"/>
      </w:pPr>
      <w:r>
        <w:rPr>
          <w:rStyle w:val="12"/>
        </w:rPr>
        <w:t>*</w:t>
      </w:r>
      <w:r>
        <w:t xml:space="preserve"> </w:t>
      </w:r>
      <w:r>
        <w:rPr>
          <w:rFonts w:hint="eastAsia"/>
          <w:lang w:val="en-US" w:eastAsia="zh-CN"/>
        </w:rPr>
        <w:t>姚娟，上海政法学院2015级法律硕士（法学）专业。</w:t>
      </w:r>
    </w:p>
  </w:footnote>
  <w:footnote w:id="145">
    <w:p>
      <w:pPr>
        <w:pStyle w:val="7"/>
        <w:snapToGrid w:val="0"/>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lang w:val="en-US" w:eastAsia="zh-CN"/>
        </w:rPr>
        <w:t>公孙致远：《中国金融法律事务全书》，中国经济出版社1994年版，第582页。</w:t>
      </w:r>
    </w:p>
  </w:footnote>
  <w:footnote w:id="146">
    <w:p>
      <w:pPr>
        <w:pStyle w:val="7"/>
        <w:snapToGrid w:val="0"/>
        <w:rPr>
          <w:rFonts w:hint="eastAsia"/>
        </w:rPr>
      </w:pPr>
      <w:r>
        <w:rPr>
          <w:rStyle w:val="12"/>
          <w:rFonts w:ascii="Times New Roman" w:hAnsi="Times New Roman"/>
        </w:rPr>
        <w:t>[</w:t>
      </w:r>
      <w:r>
        <w:rPr>
          <w:rStyle w:val="12"/>
          <w:rFonts w:ascii="Times New Roman" w:hAnsi="Times New Roman"/>
        </w:rPr>
        <w:footnoteRef/>
      </w:r>
      <w:r>
        <w:rPr>
          <w:rStyle w:val="12"/>
          <w:rFonts w:ascii="Times New Roman" w:hAnsi="Times New Roman"/>
        </w:rPr>
        <w:t>]</w:t>
      </w:r>
      <w:r>
        <w:t xml:space="preserve"> </w:t>
      </w:r>
      <w:r>
        <w:rPr>
          <w:rFonts w:hint="eastAsia"/>
          <w:lang w:val="en-US" w:eastAsia="zh-CN"/>
        </w:rPr>
        <w:t>王利明，</w:t>
      </w:r>
      <w:r>
        <w:rPr>
          <w:rFonts w:hint="eastAsia"/>
          <w:lang w:eastAsia="zh-CN"/>
        </w:rPr>
        <w:t>《</w:t>
      </w:r>
      <w:r>
        <w:rPr>
          <w:rFonts w:hint="eastAsia"/>
        </w:rPr>
        <w:t>中国民法典学者建议稿及立法理由(债法总则编.合同编)</w:t>
      </w:r>
      <w:r>
        <w:rPr>
          <w:rFonts w:hint="eastAsia"/>
          <w:lang w:eastAsia="zh-CN"/>
        </w:rPr>
        <w:t>》，法律出版社，2005年版，394页。</w:t>
      </w:r>
    </w:p>
    <w:p>
      <w:pPr>
        <w:pStyle w:val="7"/>
        <w:snapToGri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583"/>
        <w:tab w:val="center" w:pos="4217"/>
      </w:tabs>
      <w:jc w:val="center"/>
      <w:rPr>
        <w:rFonts w:hint="eastAsia"/>
        <w:b/>
        <w:sz w:val="18"/>
        <w:szCs w:val="24"/>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147320</wp:posOffset>
              </wp:positionV>
              <wp:extent cx="5295900" cy="5080"/>
              <wp:effectExtent l="0" t="0" r="0" b="0"/>
              <wp:wrapNone/>
              <wp:docPr id="3" name="直接连接符 3"/>
              <wp:cNvGraphicFramePr/>
              <a:graphic xmlns:a="http://schemas.openxmlformats.org/drawingml/2006/main">
                <a:graphicData uri="http://schemas.microsoft.com/office/word/2010/wordprocessingShape">
                  <wps:wsp>
                    <wps:cNvCnPr/>
                    <wps:spPr>
                      <a:xfrm flipV="1">
                        <a:off x="1141730" y="709930"/>
                        <a:ext cx="529590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85pt;margin-top:11.6pt;height:0.4pt;width:417pt;z-index:251659264;mso-width-relative:page;mso-height-relative:page;" filled="f" stroked="t" coordsize="21600,21600" o:gfxdata="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imlx1wAAAAgBAAAPAAAA&#10;AAAAAAEAIAAAACIAAABkcnMvZG93bnJldi54bWxQSwECFAAUAAAACACHTuJAVSn/Mt0BAAB7AwAA&#10;DgAAAAAAAAABACAAAAAmAQAAZHJzL2Uyb0RvYy54bWxQSwUGAAAAAAYABgBZAQAAdQUAAAAA&#10;">
              <v:fill on="f" focussize="0,0"/>
              <v:stroke weight="0.5pt" color="#000000 [3200]" miterlimit="8" joinstyle="miter"/>
              <v:imagedata o:title=""/>
              <o:lock v:ext="edit" aspectratio="f"/>
            </v:line>
          </w:pict>
        </mc:Fallback>
      </mc:AlternateContent>
    </w:r>
    <w:r>
      <w:rPr>
        <w:b/>
        <w:sz w:val="18"/>
        <w:szCs w:val="24"/>
      </w:rPr>
      <w:t>201</w:t>
    </w:r>
    <w:r>
      <w:rPr>
        <w:rFonts w:hint="eastAsia"/>
        <w:b/>
        <w:sz w:val="18"/>
        <w:szCs w:val="24"/>
        <w:lang w:val="en-US" w:eastAsia="zh-CN"/>
      </w:rPr>
      <w:t>6</w:t>
    </w:r>
    <w:r>
      <w:rPr>
        <w:rFonts w:hint="eastAsia"/>
        <w:b/>
        <w:sz w:val="18"/>
        <w:szCs w:val="24"/>
      </w:rPr>
      <w:t>年第</w:t>
    </w:r>
    <w:r>
      <w:rPr>
        <w:rFonts w:hint="eastAsia"/>
        <w:b/>
        <w:sz w:val="18"/>
        <w:szCs w:val="24"/>
        <w:lang w:val="en-US" w:eastAsia="zh-CN"/>
      </w:rPr>
      <w:t>3</w:t>
    </w:r>
    <w:r>
      <w:rPr>
        <w:rFonts w:hint="eastAsia"/>
        <w:b/>
        <w:sz w:val="18"/>
        <w:szCs w:val="24"/>
      </w:rPr>
      <w:t>期（总第</w:t>
    </w:r>
    <w:r>
      <w:rPr>
        <w:rFonts w:hint="eastAsia"/>
        <w:b/>
        <w:sz w:val="18"/>
        <w:szCs w:val="24"/>
        <w:lang w:val="en-US" w:eastAsia="zh-CN"/>
      </w:rPr>
      <w:t>13</w:t>
    </w:r>
    <w:r>
      <w:rPr>
        <w:rFonts w:hint="eastAsia"/>
        <w:b/>
        <w:sz w:val="18"/>
        <w:szCs w:val="24"/>
      </w:rPr>
      <w:t>期）</w:t>
    </w:r>
    <w:r>
      <w:rPr>
        <w:rFonts w:hint="eastAsia"/>
        <w:b/>
        <w:sz w:val="18"/>
        <w:szCs w:val="24"/>
        <w:lang w:val="en-US" w:eastAsia="zh-CN"/>
      </w:rPr>
      <w:t xml:space="preserve">               导师文苑     </w:t>
    </w:r>
    <w:r>
      <w:rPr>
        <w:rFonts w:hint="eastAsia"/>
        <w:b/>
        <w:bCs/>
        <w:lang w:val="en-US" w:eastAsia="zh-CN"/>
      </w:rPr>
      <w:t xml:space="preserve">                      </w:t>
    </w:r>
    <w:r>
      <w:rPr>
        <w:rFonts w:hint="eastAsia"/>
        <w:b/>
        <w:sz w:val="18"/>
        <w:szCs w:val="24"/>
        <w:lang w:val="en-US" w:eastAsia="zh-CN"/>
      </w:rPr>
      <w:t>《上政法律评论》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583"/>
        <w:tab w:val="center" w:pos="4217"/>
      </w:tabs>
      <w:jc w:val="center"/>
      <w:rPr>
        <w:rFonts w:hint="eastAsia"/>
        <w:b/>
        <w:sz w:val="18"/>
        <w:szCs w:val="24"/>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147320</wp:posOffset>
              </wp:positionV>
              <wp:extent cx="5295900" cy="5080"/>
              <wp:effectExtent l="0" t="0" r="0" b="0"/>
              <wp:wrapNone/>
              <wp:docPr id="6" name="直接连接符 6"/>
              <wp:cNvGraphicFramePr/>
              <a:graphic xmlns:a="http://schemas.openxmlformats.org/drawingml/2006/main">
                <a:graphicData uri="http://schemas.microsoft.com/office/word/2010/wordprocessingShape">
                  <wps:wsp>
                    <wps:cNvCnPr/>
                    <wps:spPr>
                      <a:xfrm flipV="1">
                        <a:off x="1141730" y="709930"/>
                        <a:ext cx="529590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85pt;margin-top:11.6pt;height:0.4pt;width:417pt;z-index:251661312;mso-width-relative:page;mso-height-relative:page;" filled="f" stroked="t" coordsize="21600,21600" o:gfxdata="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imlx1wAAAAgBAAAPAAAA&#10;AAAAAAEAIAAAACIAAABkcnMvZG93bnJldi54bWxQSwECFAAUAAAACACHTuJA9yiLo90BAAB7AwAA&#10;DgAAAAAAAAABACAAAAAmAQAAZHJzL2Uyb0RvYy54bWxQSwUGAAAAAAYABgBZAQAAdQUAAAAA&#10;">
              <v:fill on="f" focussize="0,0"/>
              <v:stroke weight="0.5pt" color="#000000 [3200]" miterlimit="8" joinstyle="miter"/>
              <v:imagedata o:title=""/>
              <o:lock v:ext="edit" aspectratio="f"/>
            </v:line>
          </w:pict>
        </mc:Fallback>
      </mc:AlternateContent>
    </w:r>
    <w:r>
      <w:rPr>
        <w:b/>
        <w:sz w:val="18"/>
        <w:szCs w:val="24"/>
      </w:rPr>
      <w:t>201</w:t>
    </w:r>
    <w:r>
      <w:rPr>
        <w:rFonts w:hint="eastAsia"/>
        <w:b/>
        <w:sz w:val="18"/>
        <w:szCs w:val="24"/>
        <w:lang w:val="en-US" w:eastAsia="zh-CN"/>
      </w:rPr>
      <w:t>6</w:t>
    </w:r>
    <w:r>
      <w:rPr>
        <w:rFonts w:hint="eastAsia"/>
        <w:b/>
        <w:sz w:val="18"/>
        <w:szCs w:val="24"/>
      </w:rPr>
      <w:t>年第</w:t>
    </w:r>
    <w:r>
      <w:rPr>
        <w:rFonts w:hint="eastAsia"/>
        <w:b/>
        <w:sz w:val="18"/>
        <w:szCs w:val="24"/>
        <w:lang w:val="en-US" w:eastAsia="zh-CN"/>
      </w:rPr>
      <w:t>3</w:t>
    </w:r>
    <w:r>
      <w:rPr>
        <w:rFonts w:hint="eastAsia"/>
        <w:b/>
        <w:sz w:val="18"/>
        <w:szCs w:val="24"/>
      </w:rPr>
      <w:t>期（总第</w:t>
    </w:r>
    <w:r>
      <w:rPr>
        <w:rFonts w:hint="eastAsia"/>
        <w:b/>
        <w:sz w:val="18"/>
        <w:szCs w:val="24"/>
        <w:lang w:val="en-US" w:eastAsia="zh-CN"/>
      </w:rPr>
      <w:t>13</w:t>
    </w:r>
    <w:r>
      <w:rPr>
        <w:rFonts w:hint="eastAsia"/>
        <w:b/>
        <w:sz w:val="18"/>
        <w:szCs w:val="24"/>
      </w:rPr>
      <w:t>期）</w:t>
    </w:r>
    <w:r>
      <w:rPr>
        <w:rFonts w:hint="eastAsia"/>
        <w:b/>
        <w:sz w:val="18"/>
        <w:szCs w:val="24"/>
        <w:lang w:val="en-US" w:eastAsia="zh-CN"/>
      </w:rPr>
      <w:t xml:space="preserve">                  部门法学</w:t>
    </w:r>
    <w:r>
      <w:rPr>
        <w:rFonts w:hint="eastAsia"/>
        <w:b/>
        <w:bCs/>
        <w:lang w:val="en-US" w:eastAsia="zh-CN"/>
      </w:rPr>
      <w:t xml:space="preserve">                         </w:t>
    </w:r>
    <w:r>
      <w:rPr>
        <w:rFonts w:hint="eastAsia"/>
        <w:b/>
        <w:sz w:val="18"/>
        <w:szCs w:val="24"/>
        <w:lang w:val="en-US" w:eastAsia="zh-CN"/>
      </w:rPr>
      <w:t>《上政法律评论》</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583"/>
        <w:tab w:val="center" w:pos="4217"/>
      </w:tabs>
      <w:jc w:val="both"/>
      <w:rPr>
        <w:rFonts w:hint="eastAsia"/>
        <w:b/>
        <w:sz w:val="18"/>
        <w:szCs w:val="24"/>
        <w:lang w:val="en-US" w:eastAsia="zh-CN"/>
      </w:rPr>
    </w:pPr>
    <w:r>
      <w:rPr>
        <w:sz w:val="18"/>
      </w:rPr>
      <mc:AlternateContent>
        <mc:Choice Requires="wps">
          <w:drawing>
            <wp:anchor distT="0" distB="0" distL="114300" distR="114300" simplePos="0" relativeHeight="251676672" behindDoc="0" locked="0" layoutInCell="1" allowOverlap="1">
              <wp:simplePos x="0" y="0"/>
              <wp:positionH relativeFrom="column">
                <wp:posOffset>-10795</wp:posOffset>
              </wp:positionH>
              <wp:positionV relativeFrom="paragraph">
                <wp:posOffset>147320</wp:posOffset>
              </wp:positionV>
              <wp:extent cx="5295900" cy="5080"/>
              <wp:effectExtent l="0" t="0" r="0" b="0"/>
              <wp:wrapNone/>
              <wp:docPr id="8" name="直接连接符 8"/>
              <wp:cNvGraphicFramePr/>
              <a:graphic xmlns:a="http://schemas.openxmlformats.org/drawingml/2006/main">
                <a:graphicData uri="http://schemas.microsoft.com/office/word/2010/wordprocessingShape">
                  <wps:wsp>
                    <wps:cNvCnPr/>
                    <wps:spPr>
                      <a:xfrm flipV="1">
                        <a:off x="1141730" y="709930"/>
                        <a:ext cx="529590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85pt;margin-top:11.6pt;height:0.4pt;width:417pt;z-index:251676672;mso-width-relative:page;mso-height-relative:page;" filled="f" stroked="t" coordsize="21600,21600" o:gfxdata="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imlx1wAAAAgBAAAPAAAA&#10;AAAAAAEAIAAAACIAAABkcnMvZG93bnJldi54bWxQSwECFAAUAAAACACHTuJAzy1nid0BAAB7AwAA&#10;DgAAAAAAAAABACAAAAAmAQAAZHJzL2Uyb0RvYy54bWxQSwUGAAAAAAYABgBZAQAAdQUAAAAA&#10;">
              <v:fill on="f" focussize="0,0"/>
              <v:stroke weight="0.5pt" color="#000000 [3200]" miterlimit="8" joinstyle="miter"/>
              <v:imagedata o:title=""/>
              <o:lock v:ext="edit" aspectratio="f"/>
            </v:line>
          </w:pict>
        </mc:Fallback>
      </mc:AlternateContent>
    </w:r>
    <w:r>
      <w:rPr>
        <w:rFonts w:hint="eastAsia"/>
        <w:b/>
        <w:sz w:val="18"/>
        <w:szCs w:val="24"/>
        <w:lang w:val="en-US" w:eastAsia="zh-CN"/>
      </w:rPr>
      <w:t xml:space="preserve">     </w:t>
    </w:r>
    <w:r>
      <w:rPr>
        <w:b/>
        <w:sz w:val="18"/>
        <w:szCs w:val="24"/>
      </w:rPr>
      <w:t>201</w:t>
    </w:r>
    <w:r>
      <w:rPr>
        <w:rFonts w:hint="eastAsia"/>
        <w:b/>
        <w:sz w:val="18"/>
        <w:szCs w:val="24"/>
        <w:lang w:val="en-US" w:eastAsia="zh-CN"/>
      </w:rPr>
      <w:t>6</w:t>
    </w:r>
    <w:r>
      <w:rPr>
        <w:rFonts w:hint="eastAsia"/>
        <w:b/>
        <w:sz w:val="18"/>
        <w:szCs w:val="24"/>
      </w:rPr>
      <w:t>年第</w:t>
    </w:r>
    <w:r>
      <w:rPr>
        <w:rFonts w:hint="eastAsia"/>
        <w:b/>
        <w:sz w:val="18"/>
        <w:szCs w:val="24"/>
        <w:lang w:val="en-US" w:eastAsia="zh-CN"/>
      </w:rPr>
      <w:t>3</w:t>
    </w:r>
    <w:r>
      <w:rPr>
        <w:rFonts w:hint="eastAsia"/>
        <w:b/>
        <w:sz w:val="18"/>
        <w:szCs w:val="24"/>
      </w:rPr>
      <w:t>期（总第</w:t>
    </w:r>
    <w:r>
      <w:rPr>
        <w:rFonts w:hint="eastAsia"/>
        <w:b/>
        <w:sz w:val="18"/>
        <w:szCs w:val="24"/>
        <w:lang w:val="en-US" w:eastAsia="zh-CN"/>
      </w:rPr>
      <w:t>13</w:t>
    </w:r>
    <w:r>
      <w:rPr>
        <w:rFonts w:hint="eastAsia"/>
        <w:b/>
        <w:sz w:val="18"/>
        <w:szCs w:val="24"/>
      </w:rPr>
      <w:t>期）</w:t>
    </w:r>
    <w:r>
      <w:rPr>
        <w:rFonts w:hint="eastAsia"/>
        <w:b/>
        <w:sz w:val="18"/>
        <w:szCs w:val="24"/>
        <w:lang w:val="en-US" w:eastAsia="zh-CN"/>
      </w:rPr>
      <w:t xml:space="preserve">               法学随笔</w:t>
    </w:r>
    <w:r>
      <w:rPr>
        <w:rFonts w:hint="eastAsia"/>
        <w:b/>
        <w:bCs/>
        <w:lang w:val="en-US" w:eastAsia="zh-CN"/>
      </w:rPr>
      <w:t xml:space="preserve">                     </w:t>
    </w:r>
    <w:r>
      <w:rPr>
        <w:rFonts w:hint="eastAsia"/>
        <w:b/>
        <w:sz w:val="18"/>
        <w:szCs w:val="24"/>
        <w:lang w:val="en-US" w:eastAsia="zh-CN"/>
      </w:rPr>
      <w:t>《上政法律评论》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4CAA0"/>
    <w:multiLevelType w:val="singleLevel"/>
    <w:tmpl w:val="5554CAA0"/>
    <w:lvl w:ilvl="0" w:tentative="0">
      <w:start w:val="1"/>
      <w:numFmt w:val="decimal"/>
      <w:suff w:val="nothing"/>
      <w:lvlText w:val="%1."/>
      <w:lvlJc w:val="left"/>
    </w:lvl>
  </w:abstractNum>
  <w:abstractNum w:abstractNumId="1">
    <w:nsid w:val="5554CAC7"/>
    <w:multiLevelType w:val="singleLevel"/>
    <w:tmpl w:val="5554CAC7"/>
    <w:lvl w:ilvl="0" w:tentative="0">
      <w:start w:val="1"/>
      <w:numFmt w:val="decimal"/>
      <w:suff w:val="nothing"/>
      <w:lvlText w:val="%1."/>
      <w:lvlJc w:val="left"/>
    </w:lvl>
  </w:abstractNum>
  <w:abstractNum w:abstractNumId="2">
    <w:nsid w:val="5554CC47"/>
    <w:multiLevelType w:val="singleLevel"/>
    <w:tmpl w:val="5554CC47"/>
    <w:lvl w:ilvl="0" w:tentative="0">
      <w:start w:val="1"/>
      <w:numFmt w:val="decimal"/>
      <w:suff w:val="nothing"/>
      <w:lvlText w:val="%1."/>
      <w:lvlJc w:val="left"/>
    </w:lvl>
  </w:abstractNum>
  <w:abstractNum w:abstractNumId="3">
    <w:nsid w:val="5554CCC4"/>
    <w:multiLevelType w:val="singleLevel"/>
    <w:tmpl w:val="5554CCC4"/>
    <w:lvl w:ilvl="0" w:tentative="0">
      <w:start w:val="1"/>
      <w:numFmt w:val="decimal"/>
      <w:suff w:val="nothing"/>
      <w:lvlText w:val="%1."/>
      <w:lvlJc w:val="left"/>
    </w:lvl>
  </w:abstractNum>
  <w:abstractNum w:abstractNumId="4">
    <w:nsid w:val="5554CDD0"/>
    <w:multiLevelType w:val="singleLevel"/>
    <w:tmpl w:val="5554CDD0"/>
    <w:lvl w:ilvl="0" w:tentative="0">
      <w:start w:val="1"/>
      <w:numFmt w:val="decimal"/>
      <w:suff w:val="nothing"/>
      <w:lvlText w:val="%1."/>
      <w:lvlJc w:val="left"/>
    </w:lvl>
  </w:abstractNum>
  <w:abstractNum w:abstractNumId="5">
    <w:nsid w:val="5554CE23"/>
    <w:multiLevelType w:val="singleLevel"/>
    <w:tmpl w:val="5554CE23"/>
    <w:lvl w:ilvl="0" w:tentative="0">
      <w:start w:val="1"/>
      <w:numFmt w:val="decimal"/>
      <w:suff w:val="nothing"/>
      <w:lvlText w:val="%1."/>
      <w:lvlJc w:val="left"/>
    </w:lvl>
  </w:abstractNum>
  <w:abstractNum w:abstractNumId="6">
    <w:nsid w:val="56A9D1EA"/>
    <w:multiLevelType w:val="singleLevel"/>
    <w:tmpl w:val="56A9D1EA"/>
    <w:lvl w:ilvl="0" w:tentative="0">
      <w:start w:val="3"/>
      <w:numFmt w:val="chineseCounting"/>
      <w:suff w:val="nothing"/>
      <w:lvlText w:val="（%1）"/>
      <w:lvlJc w:val="left"/>
      <w:rPr>
        <w:rFonts w:cs="Times New Roman"/>
      </w:rPr>
    </w:lvl>
  </w:abstractNum>
  <w:abstractNum w:abstractNumId="7">
    <w:nsid w:val="56ACA376"/>
    <w:multiLevelType w:val="singleLevel"/>
    <w:tmpl w:val="56ACA376"/>
    <w:lvl w:ilvl="0" w:tentative="0">
      <w:start w:val="2"/>
      <w:numFmt w:val="decimal"/>
      <w:suff w:val="nothing"/>
      <w:lvlText w:val="（%1）"/>
      <w:lvlJc w:val="left"/>
      <w:rPr>
        <w:rFonts w:cs="Times New Roman"/>
      </w:rPr>
    </w:lvl>
  </w:abstractNum>
  <w:abstractNum w:abstractNumId="8">
    <w:nsid w:val="5714E185"/>
    <w:multiLevelType w:val="singleLevel"/>
    <w:tmpl w:val="5714E185"/>
    <w:lvl w:ilvl="0" w:tentative="0">
      <w:start w:val="1"/>
      <w:numFmt w:val="chineseCounting"/>
      <w:suff w:val="nothing"/>
      <w:lvlText w:val="（%1）"/>
      <w:lvlJc w:val="left"/>
    </w:lvl>
  </w:abstractNum>
  <w:abstractNum w:abstractNumId="9">
    <w:nsid w:val="5715DA66"/>
    <w:multiLevelType w:val="singleLevel"/>
    <w:tmpl w:val="5715DA66"/>
    <w:lvl w:ilvl="0" w:tentative="0">
      <w:start w:val="1"/>
      <w:numFmt w:val="decimal"/>
      <w:suff w:val="nothing"/>
      <w:lvlText w:val="%1、"/>
      <w:lvlJc w:val="left"/>
    </w:lvl>
  </w:abstractNum>
  <w:abstractNum w:abstractNumId="10">
    <w:nsid w:val="5715E268"/>
    <w:multiLevelType w:val="singleLevel"/>
    <w:tmpl w:val="5715E268"/>
    <w:lvl w:ilvl="0" w:tentative="0">
      <w:start w:val="2"/>
      <w:numFmt w:val="decimal"/>
      <w:suff w:val="nothing"/>
      <w:lvlText w:val="%1、"/>
      <w:lvlJc w:val="left"/>
    </w:lvl>
  </w:abstractNum>
  <w:abstractNum w:abstractNumId="11">
    <w:nsid w:val="573AE1C3"/>
    <w:multiLevelType w:val="singleLevel"/>
    <w:tmpl w:val="573AE1C3"/>
    <w:lvl w:ilvl="0" w:tentative="0">
      <w:start w:val="1"/>
      <w:numFmt w:val="decimal"/>
      <w:suff w:val="nothing"/>
      <w:lvlText w:val="%1、"/>
      <w:lvlJc w:val="left"/>
    </w:lvl>
  </w:abstractNum>
  <w:abstractNum w:abstractNumId="12">
    <w:nsid w:val="573AE2C2"/>
    <w:multiLevelType w:val="singleLevel"/>
    <w:tmpl w:val="573AE2C2"/>
    <w:lvl w:ilvl="0" w:tentative="0">
      <w:start w:val="2"/>
      <w:numFmt w:val="chineseCounting"/>
      <w:suff w:val="nothing"/>
      <w:lvlText w:val="（%1）"/>
      <w:lvlJc w:val="left"/>
    </w:lvl>
  </w:abstractNum>
  <w:abstractNum w:abstractNumId="13">
    <w:nsid w:val="573AE4B8"/>
    <w:multiLevelType w:val="singleLevel"/>
    <w:tmpl w:val="573AE4B8"/>
    <w:lvl w:ilvl="0" w:tentative="0">
      <w:start w:val="2"/>
      <w:numFmt w:val="decimal"/>
      <w:suff w:val="nothing"/>
      <w:lvlText w:val="（%1）"/>
      <w:lvlJc w:val="left"/>
    </w:lvl>
  </w:abstractNum>
  <w:abstractNum w:abstractNumId="14">
    <w:nsid w:val="573B1031"/>
    <w:multiLevelType w:val="singleLevel"/>
    <w:tmpl w:val="573B1031"/>
    <w:lvl w:ilvl="0" w:tentative="0">
      <w:start w:val="1"/>
      <w:numFmt w:val="decimal"/>
      <w:suff w:val="nothing"/>
      <w:lvlText w:val="（%1）"/>
      <w:lvlJc w:val="left"/>
    </w:lvl>
  </w:abstractNum>
  <w:abstractNum w:abstractNumId="15">
    <w:nsid w:val="573B1E57"/>
    <w:multiLevelType w:val="singleLevel"/>
    <w:tmpl w:val="573B1E57"/>
    <w:lvl w:ilvl="0" w:tentative="0">
      <w:start w:val="3"/>
      <w:numFmt w:val="decimal"/>
      <w:suff w:val="nothing"/>
      <w:lvlText w:val="%1、"/>
      <w:lvlJc w:val="left"/>
    </w:lvl>
  </w:abstractNum>
  <w:abstractNum w:abstractNumId="16">
    <w:nsid w:val="573B277E"/>
    <w:multiLevelType w:val="singleLevel"/>
    <w:tmpl w:val="573B277E"/>
    <w:lvl w:ilvl="0" w:tentative="0">
      <w:start w:val="2"/>
      <w:numFmt w:val="chineseCounting"/>
      <w:suff w:val="nothing"/>
      <w:lvlText w:val="（%1）"/>
      <w:lvlJc w:val="left"/>
    </w:lvl>
  </w:abstractNum>
  <w:abstractNum w:abstractNumId="17">
    <w:nsid w:val="573B2B4F"/>
    <w:multiLevelType w:val="singleLevel"/>
    <w:tmpl w:val="573B2B4F"/>
    <w:lvl w:ilvl="0" w:tentative="0">
      <w:start w:val="2"/>
      <w:numFmt w:val="decimal"/>
      <w:suff w:val="nothing"/>
      <w:lvlText w:val="%1、"/>
      <w:lvlJc w:val="left"/>
    </w:lvl>
  </w:abstractNum>
  <w:abstractNum w:abstractNumId="18">
    <w:nsid w:val="573C336D"/>
    <w:multiLevelType w:val="singleLevel"/>
    <w:tmpl w:val="573C336D"/>
    <w:lvl w:ilvl="0" w:tentative="0">
      <w:start w:val="2"/>
      <w:numFmt w:val="chineseCounting"/>
      <w:suff w:val="nothing"/>
      <w:lvlText w:val="（%1）"/>
      <w:lvlJc w:val="left"/>
    </w:lvl>
  </w:abstractNum>
  <w:abstractNum w:abstractNumId="19">
    <w:nsid w:val="5798B9E1"/>
    <w:multiLevelType w:val="singleLevel"/>
    <w:tmpl w:val="5798B9E1"/>
    <w:lvl w:ilvl="0" w:tentative="0">
      <w:start w:val="1"/>
      <w:numFmt w:val="chineseCounting"/>
      <w:suff w:val="nothing"/>
      <w:lvlText w:val="（%1）"/>
      <w:lvlJc w:val="left"/>
    </w:lvl>
  </w:abstractNum>
  <w:abstractNum w:abstractNumId="20">
    <w:nsid w:val="57A0AB2F"/>
    <w:multiLevelType w:val="singleLevel"/>
    <w:tmpl w:val="57A0AB2F"/>
    <w:lvl w:ilvl="0" w:tentative="0">
      <w:start w:val="1"/>
      <w:numFmt w:val="chineseCounting"/>
      <w:suff w:val="nothing"/>
      <w:lvlText w:val="（%1）"/>
      <w:lvlJc w:val="left"/>
    </w:lvl>
  </w:abstractNum>
  <w:abstractNum w:abstractNumId="21">
    <w:nsid w:val="57A35192"/>
    <w:multiLevelType w:val="singleLevel"/>
    <w:tmpl w:val="57A35192"/>
    <w:lvl w:ilvl="0" w:tentative="0">
      <w:start w:val="1"/>
      <w:numFmt w:val="chineseCounting"/>
      <w:suff w:val="nothing"/>
      <w:lvlText w:val="（%1）"/>
      <w:lvlJc w:val="left"/>
    </w:lvl>
  </w:abstractNum>
  <w:abstractNum w:abstractNumId="22">
    <w:nsid w:val="57D11CEA"/>
    <w:multiLevelType w:val="singleLevel"/>
    <w:tmpl w:val="57D11CEA"/>
    <w:lvl w:ilvl="0" w:tentative="0">
      <w:start w:val="1"/>
      <w:numFmt w:val="chineseCounting"/>
      <w:suff w:val="nothing"/>
      <w:lvlText w:val="（%1）"/>
      <w:lvlJc w:val="left"/>
    </w:lvl>
  </w:abstractNum>
  <w:abstractNum w:abstractNumId="23">
    <w:nsid w:val="57D13049"/>
    <w:multiLevelType w:val="singleLevel"/>
    <w:tmpl w:val="57D13049"/>
    <w:lvl w:ilvl="0" w:tentative="0">
      <w:start w:val="1"/>
      <w:numFmt w:val="chineseCounting"/>
      <w:suff w:val="nothing"/>
      <w:lvlText w:val="（%1）"/>
      <w:lvlJc w:val="left"/>
    </w:lvl>
  </w:abstractNum>
  <w:abstractNum w:abstractNumId="24">
    <w:nsid w:val="57D13125"/>
    <w:multiLevelType w:val="singleLevel"/>
    <w:tmpl w:val="57D13125"/>
    <w:lvl w:ilvl="0" w:tentative="0">
      <w:start w:val="2"/>
      <w:numFmt w:val="chineseCounting"/>
      <w:suff w:val="nothing"/>
      <w:lvlText w:val="（%1）"/>
      <w:lvlJc w:val="left"/>
    </w:lvl>
  </w:abstractNum>
  <w:abstractNum w:abstractNumId="25">
    <w:nsid w:val="5808A954"/>
    <w:multiLevelType w:val="singleLevel"/>
    <w:tmpl w:val="5808A954"/>
    <w:lvl w:ilvl="0" w:tentative="0">
      <w:start w:val="1"/>
      <w:numFmt w:val="chineseCounting"/>
      <w:suff w:val="nothing"/>
      <w:lvlText w:val="%1、"/>
      <w:lvlJc w:val="left"/>
    </w:lvl>
  </w:abstractNum>
  <w:num w:numId="1">
    <w:abstractNumId w:val="23"/>
  </w:num>
  <w:num w:numId="2">
    <w:abstractNumId w:val="24"/>
  </w:num>
  <w:num w:numId="3">
    <w:abstractNumId w:val="22"/>
  </w:num>
  <w:num w:numId="4">
    <w:abstractNumId w:val="25"/>
  </w:num>
  <w:num w:numId="5">
    <w:abstractNumId w:val="4"/>
  </w:num>
  <w:num w:numId="6">
    <w:abstractNumId w:val="5"/>
  </w:num>
  <w:num w:numId="7">
    <w:abstractNumId w:val="1"/>
  </w:num>
  <w:num w:numId="8">
    <w:abstractNumId w:val="0"/>
  </w:num>
  <w:num w:numId="9">
    <w:abstractNumId w:val="2"/>
  </w:num>
  <w:num w:numId="10">
    <w:abstractNumId w:val="3"/>
  </w:num>
  <w:num w:numId="11">
    <w:abstractNumId w:val="6"/>
  </w:num>
  <w:num w:numId="12">
    <w:abstractNumId w:val="7"/>
  </w:num>
  <w:num w:numId="13">
    <w:abstractNumId w:val="19"/>
  </w:num>
  <w:num w:numId="14">
    <w:abstractNumId w:val="20"/>
  </w:num>
  <w:num w:numId="15">
    <w:abstractNumId w:val="21"/>
  </w:num>
  <w:num w:numId="16">
    <w:abstractNumId w:val="9"/>
  </w:num>
  <w:num w:numId="17">
    <w:abstractNumId w:val="8"/>
  </w:num>
  <w:num w:numId="18">
    <w:abstractNumId w:val="10"/>
  </w:num>
  <w:num w:numId="19">
    <w:abstractNumId w:val="14"/>
  </w:num>
  <w:num w:numId="20">
    <w:abstractNumId w:val="11"/>
  </w:num>
  <w:num w:numId="21">
    <w:abstractNumId w:val="12"/>
  </w:num>
  <w:num w:numId="22">
    <w:abstractNumId w:val="13"/>
  </w:num>
  <w:num w:numId="23">
    <w:abstractNumId w:val="15"/>
  </w:num>
  <w:num w:numId="24">
    <w:abstractNumId w:val="17"/>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71DA"/>
    <w:rsid w:val="005F2A5D"/>
    <w:rsid w:val="00734E0C"/>
    <w:rsid w:val="007D2335"/>
    <w:rsid w:val="00871EDE"/>
    <w:rsid w:val="00AE7BF0"/>
    <w:rsid w:val="00C07839"/>
    <w:rsid w:val="00F54B47"/>
    <w:rsid w:val="013C409A"/>
    <w:rsid w:val="02F83182"/>
    <w:rsid w:val="03173AAE"/>
    <w:rsid w:val="031E6EA4"/>
    <w:rsid w:val="048A1E5F"/>
    <w:rsid w:val="04C7179B"/>
    <w:rsid w:val="05C35094"/>
    <w:rsid w:val="06703184"/>
    <w:rsid w:val="06707B5D"/>
    <w:rsid w:val="071B5899"/>
    <w:rsid w:val="07613944"/>
    <w:rsid w:val="0782071D"/>
    <w:rsid w:val="07D43CE8"/>
    <w:rsid w:val="081D6B95"/>
    <w:rsid w:val="09602647"/>
    <w:rsid w:val="09D741D6"/>
    <w:rsid w:val="0A363642"/>
    <w:rsid w:val="0A7D6402"/>
    <w:rsid w:val="0B1334C4"/>
    <w:rsid w:val="0B21409B"/>
    <w:rsid w:val="0C711C68"/>
    <w:rsid w:val="0D824391"/>
    <w:rsid w:val="0DC01C77"/>
    <w:rsid w:val="0DCF1B61"/>
    <w:rsid w:val="0E580D56"/>
    <w:rsid w:val="0FC40983"/>
    <w:rsid w:val="0FF13A9D"/>
    <w:rsid w:val="102C296F"/>
    <w:rsid w:val="12914104"/>
    <w:rsid w:val="12C43BE9"/>
    <w:rsid w:val="12DD07F3"/>
    <w:rsid w:val="1306136E"/>
    <w:rsid w:val="143B20DE"/>
    <w:rsid w:val="15790AF1"/>
    <w:rsid w:val="165B2F3D"/>
    <w:rsid w:val="16836D86"/>
    <w:rsid w:val="16A52120"/>
    <w:rsid w:val="1923569F"/>
    <w:rsid w:val="192F784F"/>
    <w:rsid w:val="195C085E"/>
    <w:rsid w:val="19D66AD4"/>
    <w:rsid w:val="1A071A9B"/>
    <w:rsid w:val="1A451358"/>
    <w:rsid w:val="1B287358"/>
    <w:rsid w:val="1B373D76"/>
    <w:rsid w:val="1B5E6A52"/>
    <w:rsid w:val="1DE87CC2"/>
    <w:rsid w:val="20375979"/>
    <w:rsid w:val="204B3321"/>
    <w:rsid w:val="20C6448E"/>
    <w:rsid w:val="211665C7"/>
    <w:rsid w:val="217A102B"/>
    <w:rsid w:val="21BF4F00"/>
    <w:rsid w:val="222A4D44"/>
    <w:rsid w:val="223D0ECD"/>
    <w:rsid w:val="22A665B1"/>
    <w:rsid w:val="22BF0CCF"/>
    <w:rsid w:val="22D2382E"/>
    <w:rsid w:val="23300477"/>
    <w:rsid w:val="2478353B"/>
    <w:rsid w:val="24870A71"/>
    <w:rsid w:val="251D7810"/>
    <w:rsid w:val="25FC7323"/>
    <w:rsid w:val="26C94F54"/>
    <w:rsid w:val="26ED0F68"/>
    <w:rsid w:val="278E2E97"/>
    <w:rsid w:val="28696D84"/>
    <w:rsid w:val="2A3B5A05"/>
    <w:rsid w:val="2A410B2D"/>
    <w:rsid w:val="2AE45A32"/>
    <w:rsid w:val="2B137F0D"/>
    <w:rsid w:val="2CEF5873"/>
    <w:rsid w:val="2E167D69"/>
    <w:rsid w:val="2E47456D"/>
    <w:rsid w:val="2F3468F6"/>
    <w:rsid w:val="2F3B4C5B"/>
    <w:rsid w:val="2F456A48"/>
    <w:rsid w:val="304F7615"/>
    <w:rsid w:val="309B18D2"/>
    <w:rsid w:val="30CD1BAA"/>
    <w:rsid w:val="311C5803"/>
    <w:rsid w:val="32B1656F"/>
    <w:rsid w:val="32C17BF9"/>
    <w:rsid w:val="32EC38A4"/>
    <w:rsid w:val="33367D71"/>
    <w:rsid w:val="337D5108"/>
    <w:rsid w:val="340A7E96"/>
    <w:rsid w:val="343D764C"/>
    <w:rsid w:val="346C7035"/>
    <w:rsid w:val="355B3EB6"/>
    <w:rsid w:val="35965369"/>
    <w:rsid w:val="366B75AE"/>
    <w:rsid w:val="370C0031"/>
    <w:rsid w:val="387517F8"/>
    <w:rsid w:val="38E55267"/>
    <w:rsid w:val="391650E5"/>
    <w:rsid w:val="39542DA0"/>
    <w:rsid w:val="3A9852F9"/>
    <w:rsid w:val="3B453F09"/>
    <w:rsid w:val="3CD056F5"/>
    <w:rsid w:val="3DDC4B80"/>
    <w:rsid w:val="3ED8285E"/>
    <w:rsid w:val="3F107B64"/>
    <w:rsid w:val="3F2362D7"/>
    <w:rsid w:val="3F4B5453"/>
    <w:rsid w:val="3F5366AB"/>
    <w:rsid w:val="40350EA2"/>
    <w:rsid w:val="40E7159E"/>
    <w:rsid w:val="41365804"/>
    <w:rsid w:val="41440757"/>
    <w:rsid w:val="41BA4BEA"/>
    <w:rsid w:val="41C53CE5"/>
    <w:rsid w:val="42063094"/>
    <w:rsid w:val="42510C6D"/>
    <w:rsid w:val="43DF5E1E"/>
    <w:rsid w:val="45A43022"/>
    <w:rsid w:val="477D2AC1"/>
    <w:rsid w:val="48AD15C4"/>
    <w:rsid w:val="492133D7"/>
    <w:rsid w:val="498114DB"/>
    <w:rsid w:val="4A4952DB"/>
    <w:rsid w:val="4AE066FD"/>
    <w:rsid w:val="4AE33CA9"/>
    <w:rsid w:val="4B6C186F"/>
    <w:rsid w:val="4C500B62"/>
    <w:rsid w:val="4CA314A8"/>
    <w:rsid w:val="4D6735D2"/>
    <w:rsid w:val="4DED4655"/>
    <w:rsid w:val="4DFB1EA7"/>
    <w:rsid w:val="4E041157"/>
    <w:rsid w:val="4E3064F3"/>
    <w:rsid w:val="4E89769C"/>
    <w:rsid w:val="4EA16EEF"/>
    <w:rsid w:val="4EA6613A"/>
    <w:rsid w:val="50006CAC"/>
    <w:rsid w:val="5167246A"/>
    <w:rsid w:val="51EE2D4F"/>
    <w:rsid w:val="52D30395"/>
    <w:rsid w:val="533C5277"/>
    <w:rsid w:val="5487342B"/>
    <w:rsid w:val="55586EFF"/>
    <w:rsid w:val="55886BB4"/>
    <w:rsid w:val="558C2E13"/>
    <w:rsid w:val="56BB0A5D"/>
    <w:rsid w:val="571809CB"/>
    <w:rsid w:val="574C6BEA"/>
    <w:rsid w:val="59C54851"/>
    <w:rsid w:val="5A0C7B2C"/>
    <w:rsid w:val="5A8F6B5E"/>
    <w:rsid w:val="5AF630E6"/>
    <w:rsid w:val="5AF92947"/>
    <w:rsid w:val="5B8362FF"/>
    <w:rsid w:val="5E9747ED"/>
    <w:rsid w:val="5EA242BD"/>
    <w:rsid w:val="60351814"/>
    <w:rsid w:val="60B8187F"/>
    <w:rsid w:val="61D702EB"/>
    <w:rsid w:val="63205578"/>
    <w:rsid w:val="634733DC"/>
    <w:rsid w:val="636D5983"/>
    <w:rsid w:val="64AD4679"/>
    <w:rsid w:val="657D2BE8"/>
    <w:rsid w:val="65B36F63"/>
    <w:rsid w:val="66D06410"/>
    <w:rsid w:val="67050B05"/>
    <w:rsid w:val="68B16C16"/>
    <w:rsid w:val="68D27B77"/>
    <w:rsid w:val="68FB1CAF"/>
    <w:rsid w:val="6B0A0241"/>
    <w:rsid w:val="6B692C91"/>
    <w:rsid w:val="6C115F45"/>
    <w:rsid w:val="6CB55888"/>
    <w:rsid w:val="6CDC38C8"/>
    <w:rsid w:val="6D301FAB"/>
    <w:rsid w:val="6E372544"/>
    <w:rsid w:val="6EDB48DC"/>
    <w:rsid w:val="6F9618D8"/>
    <w:rsid w:val="6FE20C98"/>
    <w:rsid w:val="700E0F35"/>
    <w:rsid w:val="703417EC"/>
    <w:rsid w:val="70E60798"/>
    <w:rsid w:val="71532EA8"/>
    <w:rsid w:val="72B7223B"/>
    <w:rsid w:val="72D52234"/>
    <w:rsid w:val="7305740E"/>
    <w:rsid w:val="75751188"/>
    <w:rsid w:val="758E544A"/>
    <w:rsid w:val="76F14EA8"/>
    <w:rsid w:val="790961E2"/>
    <w:rsid w:val="79D343F8"/>
    <w:rsid w:val="7A2309BC"/>
    <w:rsid w:val="7A5674F9"/>
    <w:rsid w:val="7AE54C2B"/>
    <w:rsid w:val="7B07283D"/>
    <w:rsid w:val="7C284D39"/>
    <w:rsid w:val="7CBD6592"/>
    <w:rsid w:val="7D036C94"/>
    <w:rsid w:val="7D755681"/>
    <w:rsid w:val="7EA0332E"/>
    <w:rsid w:val="7ED26B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cs="Courier New"/>
      <w:szCs w:val="21"/>
    </w:rPr>
  </w:style>
  <w:style w:type="paragraph" w:styleId="4">
    <w:name w:val="endnote text"/>
    <w:basedOn w:val="1"/>
    <w:qFormat/>
    <w:uiPriority w:val="0"/>
    <w:pPr>
      <w:snapToGrid w:val="0"/>
      <w:jc w:val="left"/>
    </w:pPr>
    <w:rPr>
      <w:rFonts w:ascii="Calibri" w:hAnsi="Calibri" w:cs="Times New Roman"/>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7">
    <w:name w:val="footnote text"/>
    <w:basedOn w:val="1"/>
    <w:qFormat/>
    <w:uiPriority w:val="0"/>
    <w:pPr>
      <w:snapToGrid w:val="0"/>
      <w:jc w:val="left"/>
    </w:pPr>
    <w:rPr>
      <w:sz w:val="18"/>
    </w:rPr>
  </w:style>
  <w:style w:type="character" w:styleId="9">
    <w:name w:val="endnote reference"/>
    <w:basedOn w:val="8"/>
    <w:qFormat/>
    <w:uiPriority w:val="0"/>
    <w:rPr>
      <w:rFonts w:ascii="Calibri" w:hAnsi="Calibri" w:eastAsia="宋体" w:cs="Times New Roman"/>
      <w:vertAlign w:val="superscript"/>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styleId="12">
    <w:name w:val="footnote reference"/>
    <w:basedOn w:val="8"/>
    <w:qFormat/>
    <w:uiPriority w:val="0"/>
    <w:rPr>
      <w:vertAlign w:val="superscript"/>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List Paragraph"/>
    <w:basedOn w:val="1"/>
    <w:qFormat/>
    <w:uiPriority w:val="34"/>
    <w:pPr>
      <w:ind w:firstLine="420" w:firstLineChars="200"/>
    </w:pPr>
  </w:style>
  <w:style w:type="character" w:customStyle="1" w:styleId="16">
    <w:name w:val="con"/>
    <w:basedOn w:val="8"/>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2016-10-14T14:47:00Z</dcterms:created>
  <dc:creator>lenovo</dc:creator>
  <cp:lastModifiedBy>Lww</cp:lastModifiedBy>
  <dcterms:modified xsi:type="dcterms:W3CDTF">2017-10-08T10:52:59Z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