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color w:val="000000"/>
          <w:kern w:val="0"/>
          <w:sz w:val="28"/>
          <w:szCs w:val="32"/>
        </w:rPr>
      </w:pPr>
    </w:p>
    <w:p>
      <w:pPr>
        <w:jc w:val="center"/>
        <w:rPr>
          <w:rFonts w:ascii="华文中宋" w:hAnsi="华文中宋" w:eastAsia="华文中宋" w:cs="Times New Roman"/>
          <w:color w:val="000000"/>
          <w:kern w:val="0"/>
          <w:sz w:val="36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color w:val="000000"/>
          <w:kern w:val="0"/>
          <w:sz w:val="36"/>
          <w:szCs w:val="30"/>
        </w:rPr>
        <w:t>上海高校优质混合式在线课程示范案例推荐表</w:t>
      </w:r>
    </w:p>
    <w:p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（2019年6月）</w:t>
      </w:r>
    </w:p>
    <w:p>
      <w:pPr>
        <w:spacing w:before="156" w:beforeLines="50" w:after="93" w:afterLines="30" w:line="320" w:lineRule="exact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一、推荐课程基本信息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55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所属高校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学科专业</w:t>
            </w:r>
          </w:p>
        </w:tc>
        <w:tc>
          <w:tcPr>
            <w:tcW w:w="33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课程名称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课程类型</w:t>
            </w:r>
          </w:p>
        </w:tc>
        <w:tc>
          <w:tcPr>
            <w:tcW w:w="33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i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i/>
                <w:color w:val="808080" w:themeColor="text1" w:themeTint="80"/>
                <w:sz w:val="20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如通识课、基础课、专业课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在线课程链接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2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2"/>
                <w:szCs w:val="28"/>
              </w:rPr>
              <w:t>用于评估的</w:t>
            </w:r>
          </w:p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2"/>
                <w:szCs w:val="28"/>
              </w:rPr>
              <w:t>课程账号、密码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  <w:r>
              <w:rPr>
                <w:rFonts w:hint="eastAsia" w:asciiTheme="minorEastAsia" w:hAnsiTheme="minorEastAsia"/>
                <w:i/>
                <w:color w:val="808080" w:themeColor="text1" w:themeTint="80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建议提供课程修读学生或助教身份的账号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课程负责教师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职称</w:t>
            </w:r>
          </w:p>
        </w:tc>
        <w:tc>
          <w:tcPr>
            <w:tcW w:w="33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联系手机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Email</w:t>
            </w:r>
          </w:p>
        </w:tc>
        <w:tc>
          <w:tcPr>
            <w:tcW w:w="33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通讯地址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>
      <w:pPr>
        <w:spacing w:before="156" w:beforeLines="50" w:after="93" w:afterLines="30" w:line="320" w:lineRule="exact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二、课程概况</w:t>
      </w:r>
      <w:r>
        <w:rPr>
          <w:rFonts w:hint="eastAsia" w:ascii="华文楷体" w:hAnsi="华文楷体" w:eastAsia="华文楷体"/>
          <w:sz w:val="28"/>
          <w:szCs w:val="28"/>
        </w:rPr>
        <w:t>（不超过400字）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1" w:hRule="atLeast"/>
        </w:trPr>
        <w:tc>
          <w:tcPr>
            <w:tcW w:w="8522" w:type="dxa"/>
            <w:shd w:val="clear" w:color="auto" w:fill="auto"/>
          </w:tcPr>
          <w:p>
            <w:pPr>
              <w:spacing w:line="400" w:lineRule="exact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简要说明本课程开展混合式教学的运行情况</w:t>
            </w:r>
          </w:p>
          <w:p>
            <w:pPr>
              <w:spacing w:line="40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b/>
          <w:sz w:val="24"/>
          <w:szCs w:val="28"/>
        </w:rPr>
      </w:pPr>
    </w:p>
    <w:p>
      <w:pPr>
        <w:spacing w:before="156" w:beforeLines="50" w:after="93" w:afterLines="30" w:line="320" w:lineRule="exact"/>
        <w:rPr>
          <w:rFonts w:ascii="微软雅黑" w:hAnsi="微软雅黑" w:eastAsia="微软雅黑"/>
          <w:b/>
          <w:sz w:val="24"/>
          <w:szCs w:val="28"/>
        </w:rPr>
      </w:pPr>
      <w:r>
        <w:rPr>
          <w:rFonts w:ascii="微软雅黑" w:hAnsi="微软雅黑" w:eastAsia="微软雅黑"/>
          <w:b/>
          <w:sz w:val="24"/>
          <w:szCs w:val="28"/>
        </w:rPr>
        <w:br w:type="page"/>
      </w:r>
      <w:r>
        <w:rPr>
          <w:rFonts w:hint="eastAsia" w:ascii="华文楷体" w:hAnsi="华文楷体" w:eastAsia="华文楷体"/>
          <w:b/>
          <w:sz w:val="28"/>
          <w:szCs w:val="28"/>
        </w:rPr>
        <w:t>三、课程设计方案</w:t>
      </w:r>
      <w:r>
        <w:rPr>
          <w:rFonts w:hint="eastAsia" w:ascii="华文楷体" w:hAnsi="华文楷体" w:eastAsia="华文楷体"/>
          <w:sz w:val="28"/>
          <w:szCs w:val="28"/>
        </w:rPr>
        <w:t>（不超过600字）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exact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1.课程预期目标，需注重从学生学习角度加以阐述。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5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exact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2. 线上和线下学习活动、测评、资料、技术等环节设计，需说明这些环节如何支撑课程预期目标的达成。</w:t>
            </w:r>
          </w:p>
          <w:p>
            <w:pPr>
              <w:spacing w:line="360" w:lineRule="exact"/>
              <w:rPr>
                <w:rFonts w:ascii="华文楷体" w:hAnsi="华文楷体" w:eastAsia="华文楷体"/>
                <w:sz w:val="24"/>
                <w:szCs w:val="2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b/>
          <w:sz w:val="24"/>
          <w:szCs w:val="28"/>
        </w:rPr>
      </w:pPr>
    </w:p>
    <w:p>
      <w:pPr>
        <w:spacing w:before="156" w:beforeLines="50" w:after="93" w:afterLines="30" w:line="320" w:lineRule="exact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四、教学运行效果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4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exact"/>
              <w:rPr>
                <w:rFonts w:ascii="华文楷体" w:hAnsi="华文楷体" w:eastAsia="华文楷体"/>
                <w:sz w:val="22"/>
                <w:szCs w:val="28"/>
              </w:rPr>
            </w:pPr>
            <w:r>
              <w:rPr>
                <w:rFonts w:ascii="华文楷体" w:hAnsi="华文楷体" w:eastAsia="华文楷体"/>
                <w:sz w:val="24"/>
                <w:szCs w:val="28"/>
              </w:rPr>
              <w:t>请从学生学习角度</w:t>
            </w:r>
            <w:r>
              <w:rPr>
                <w:rFonts w:hint="eastAsia" w:ascii="华文楷体" w:hAnsi="华文楷体" w:eastAsia="华文楷体"/>
                <w:sz w:val="24"/>
                <w:szCs w:val="28"/>
              </w:rPr>
              <w:t>说明本课程教学运行成效，可兼顾同行评价、专家意见等。成效分析需注重客观性与科学性，形式不限。</w:t>
            </w:r>
          </w:p>
        </w:tc>
      </w:tr>
    </w:tbl>
    <w:p>
      <w:pPr>
        <w:spacing w:before="156" w:beforeLines="50" w:after="93" w:afterLines="30" w:line="320" w:lineRule="exact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五、学校推荐意见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ind w:firstLine="1960" w:firstLineChars="700"/>
              <w:rPr>
                <w:rFonts w:ascii="华文楷体" w:hAnsi="华文楷体" w:eastAsia="华文楷体"/>
                <w:color w:val="000000"/>
                <w:sz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</w:rPr>
              <w:t>学校教务处负责人签章（盖章）：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7"/>
    <w:rsid w:val="00013C19"/>
    <w:rsid w:val="0003005E"/>
    <w:rsid w:val="00045C85"/>
    <w:rsid w:val="00046259"/>
    <w:rsid w:val="000F49D2"/>
    <w:rsid w:val="001749FA"/>
    <w:rsid w:val="001767E0"/>
    <w:rsid w:val="00272694"/>
    <w:rsid w:val="00274CAD"/>
    <w:rsid w:val="00291211"/>
    <w:rsid w:val="003314A4"/>
    <w:rsid w:val="00394077"/>
    <w:rsid w:val="003C6B51"/>
    <w:rsid w:val="003D3D17"/>
    <w:rsid w:val="00464D62"/>
    <w:rsid w:val="0048695F"/>
    <w:rsid w:val="004B0D19"/>
    <w:rsid w:val="004C0D67"/>
    <w:rsid w:val="004F5414"/>
    <w:rsid w:val="005B5592"/>
    <w:rsid w:val="005F3CEE"/>
    <w:rsid w:val="006A0196"/>
    <w:rsid w:val="00781942"/>
    <w:rsid w:val="007A1D4B"/>
    <w:rsid w:val="008C113F"/>
    <w:rsid w:val="008D2949"/>
    <w:rsid w:val="008D52ED"/>
    <w:rsid w:val="009005D9"/>
    <w:rsid w:val="00956E25"/>
    <w:rsid w:val="00A47102"/>
    <w:rsid w:val="00AB1C38"/>
    <w:rsid w:val="00B10A04"/>
    <w:rsid w:val="00B21079"/>
    <w:rsid w:val="00BA0919"/>
    <w:rsid w:val="00BE5EC7"/>
    <w:rsid w:val="00C06D60"/>
    <w:rsid w:val="00C8461A"/>
    <w:rsid w:val="00D04457"/>
    <w:rsid w:val="00D41B17"/>
    <w:rsid w:val="00D609CA"/>
    <w:rsid w:val="00DA3A1F"/>
    <w:rsid w:val="00DF0222"/>
    <w:rsid w:val="00E41756"/>
    <w:rsid w:val="00EA186C"/>
    <w:rsid w:val="00EA6883"/>
    <w:rsid w:val="00FB4CFE"/>
    <w:rsid w:val="00FB6CF2"/>
    <w:rsid w:val="00FB6D5E"/>
    <w:rsid w:val="00FD0784"/>
    <w:rsid w:val="00FF62C9"/>
    <w:rsid w:val="4D9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9</TotalTime>
  <ScaleCrop>false</ScaleCrop>
  <LinksUpToDate>false</LinksUpToDate>
  <CharactersWithSpaces>450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2019-05-26T14:19:00Z</dcterms:created>
  <dc:creator>fanhh</dc:creator>
  <cp:lastModifiedBy>Twilight lonesome</cp:lastModifiedBy>
  <dcterms:modified xsi:type="dcterms:W3CDTF">2019-05-31T07:49:22Z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