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52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关于开展</w:t>
      </w:r>
      <w:r>
        <w:rPr>
          <w:rFonts w:hint="eastAsia" w:ascii="方正小标宋简体" w:hAnsi="方正小标宋简体" w:eastAsia="方正小标宋简体" w:cs="方正小标宋简体"/>
          <w:sz w:val="36"/>
          <w:szCs w:val="36"/>
        </w:rPr>
        <w:t>2018年上海市高校理论宣讲</w:t>
      </w:r>
    </w:p>
    <w:p>
      <w:pPr>
        <w:overflowPunct w:val="0"/>
        <w:adjustRightInd w:val="0"/>
        <w:snapToGrid w:val="0"/>
        <w:spacing w:line="520" w:lineRule="exact"/>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微课程</w:t>
      </w:r>
      <w:r>
        <w:rPr>
          <w:rFonts w:hint="eastAsia" w:ascii="方正小标宋简体" w:hAnsi="方正小标宋简体" w:eastAsia="方正小标宋简体" w:cs="方正小标宋简体"/>
          <w:sz w:val="36"/>
          <w:szCs w:val="36"/>
          <w:lang w:eastAsia="zh-CN"/>
        </w:rPr>
        <w:t>比赛的通知</w:t>
      </w:r>
    </w:p>
    <w:p>
      <w:pPr>
        <w:spacing w:line="520" w:lineRule="exact"/>
        <w:rPr>
          <w:rFonts w:ascii="FangSong_GB2312" w:eastAsia="FangSong_GB2312"/>
          <w:color w:val="000000" w:themeColor="text1"/>
          <w:sz w:val="24"/>
          <w14:textFill>
            <w14:solidFill>
              <w14:schemeClr w14:val="tx1"/>
            </w14:solidFill>
          </w14:textFill>
        </w:rPr>
      </w:pPr>
    </w:p>
    <w:p>
      <w:pPr>
        <w:pStyle w:val="20"/>
        <w:spacing w:before="0" w:beforeAutospacing="0" w:after="0" w:afterAutospacing="0" w:line="480" w:lineRule="exact"/>
        <w:jc w:val="both"/>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各高校党委宣传部：</w:t>
      </w:r>
    </w:p>
    <w:p>
      <w:pPr>
        <w:pStyle w:val="20"/>
        <w:spacing w:before="0" w:beforeAutospacing="0" w:after="0" w:afterAutospacing="0" w:line="480" w:lineRule="exact"/>
        <w:jc w:val="both"/>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xml:space="preserve">    为深入学习贯彻党的十九大精神，推动党的十九大精神和习近平新时代中国特色社会主义思想进网络，按照《关于深化推进“易班”建设的若干意见》（沪委办〔2017〕65号）等文件要求，坚持以内容建设为根本扎实推进易班内涵发展，建设一批面向社会、党政机关和企事业单位的网络课程，提升十九大报告的学习效率和覆盖率，现决定</w:t>
      </w:r>
      <w:r>
        <w:rPr>
          <w:rFonts w:hint="eastAsia" w:ascii="仿宋_GB2312" w:hAnsi="仿宋_GB2312" w:eastAsia="仿宋_GB2312" w:cs="仿宋_GB2312"/>
          <w:kern w:val="2"/>
          <w:sz w:val="28"/>
          <w:szCs w:val="28"/>
          <w:lang w:eastAsia="zh-CN"/>
        </w:rPr>
        <w:t>开展</w:t>
      </w:r>
      <w:r>
        <w:rPr>
          <w:rFonts w:hint="eastAsia" w:ascii="仿宋_GB2312" w:hAnsi="仿宋_GB2312" w:eastAsia="仿宋_GB2312" w:cs="仿宋_GB2312"/>
          <w:kern w:val="2"/>
          <w:sz w:val="28"/>
          <w:szCs w:val="28"/>
          <w:lang w:val="en-US" w:eastAsia="zh-CN"/>
        </w:rPr>
        <w:t>2018年上海市高校理论宣讲微课程比赛</w:t>
      </w:r>
      <w:bookmarkStart w:id="0" w:name="_GoBack"/>
      <w:bookmarkEnd w:id="0"/>
      <w:r>
        <w:rPr>
          <w:rFonts w:hint="eastAsia" w:ascii="仿宋_GB2312" w:hAnsi="仿宋_GB2312" w:eastAsia="仿宋_GB2312" w:cs="仿宋_GB2312"/>
          <w:kern w:val="2"/>
          <w:sz w:val="28"/>
          <w:szCs w:val="28"/>
        </w:rPr>
        <w:t>，现将有关事项通知如下：</w:t>
      </w:r>
    </w:p>
    <w:p>
      <w:pPr>
        <w:spacing w:line="480" w:lineRule="exact"/>
        <w:ind w:firstLine="600"/>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一、活动目标</w:t>
      </w:r>
    </w:p>
    <w:p>
      <w:pPr>
        <w:spacing w:line="480" w:lineRule="exact"/>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以青年视角讲好中国故事，传播中国声音，根据当下社会群体的学习特点，用学生宣讲和网络平台相结合的方式把党的十九大报告呈现出来，建设一批既有理论深度，又显直观生动的网络课程供相关学习群体使用。</w:t>
      </w:r>
    </w:p>
    <w:p>
      <w:pPr>
        <w:spacing w:line="480" w:lineRule="exact"/>
        <w:ind w:firstLine="600"/>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二、参与范围及对象</w:t>
      </w:r>
    </w:p>
    <w:p>
      <w:pPr>
        <w:spacing w:line="480" w:lineRule="exact"/>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上海市各高校本科生及研究生</w:t>
      </w:r>
    </w:p>
    <w:p>
      <w:pPr>
        <w:spacing w:line="480" w:lineRule="exact"/>
        <w:rPr>
          <w:rFonts w:ascii="黑体" w:hAnsi="黑体" w:eastAsia="黑体"/>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 xml:space="preserve">    </w:t>
      </w:r>
      <w:r>
        <w:rPr>
          <w:rFonts w:hint="eastAsia" w:ascii="黑体" w:hAnsi="黑体" w:eastAsia="黑体"/>
          <w:color w:val="000000" w:themeColor="text1"/>
          <w:sz w:val="28"/>
          <w:szCs w:val="28"/>
          <w14:textFill>
            <w14:solidFill>
              <w14:schemeClr w14:val="tx1"/>
            </w14:solidFill>
          </w14:textFill>
        </w:rPr>
        <w:t>三、组织机构</w:t>
      </w:r>
    </w:p>
    <w:p>
      <w:pPr>
        <w:pStyle w:val="20"/>
        <w:spacing w:before="0" w:beforeAutospacing="0" w:after="0" w:afterAutospacing="0" w:line="480" w:lineRule="exact"/>
        <w:jc w:val="both"/>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xml:space="preserve">    指导单位：中共上海市教育卫生工作委员会</w:t>
      </w:r>
    </w:p>
    <w:p>
      <w:pPr>
        <w:pStyle w:val="20"/>
        <w:spacing w:before="0" w:beforeAutospacing="0" w:after="0" w:afterAutospacing="0" w:line="480" w:lineRule="exact"/>
        <w:ind w:firstLine="1960" w:firstLineChars="700"/>
        <w:jc w:val="both"/>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上海市教育委员会</w:t>
      </w:r>
    </w:p>
    <w:p>
      <w:pPr>
        <w:pStyle w:val="20"/>
        <w:spacing w:before="0" w:beforeAutospacing="0" w:after="0" w:afterAutospacing="0" w:line="480" w:lineRule="exact"/>
        <w:ind w:firstLine="560" w:firstLineChars="200"/>
        <w:jc w:val="both"/>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主办单位：复旦大学</w:t>
      </w:r>
    </w:p>
    <w:p>
      <w:pPr>
        <w:pStyle w:val="20"/>
        <w:spacing w:before="0" w:beforeAutospacing="0" w:after="0" w:afterAutospacing="0" w:line="480" w:lineRule="exact"/>
        <w:ind w:firstLine="1960" w:firstLineChars="700"/>
        <w:jc w:val="both"/>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上海教育系统网络文化发展研究中心</w:t>
      </w:r>
    </w:p>
    <w:p>
      <w:pPr>
        <w:pStyle w:val="20"/>
        <w:spacing w:before="0" w:beforeAutospacing="0" w:after="0" w:afterAutospacing="0" w:line="480" w:lineRule="exact"/>
        <w:jc w:val="both"/>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xml:space="preserve">    承办单位：复旦大学党委研究生工作部</w:t>
      </w:r>
    </w:p>
    <w:p>
      <w:pPr>
        <w:pStyle w:val="20"/>
        <w:spacing w:before="0" w:beforeAutospacing="0" w:after="0" w:afterAutospacing="0" w:line="480" w:lineRule="exact"/>
        <w:jc w:val="both"/>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xml:space="preserve">    支持平台：易班网</w:t>
      </w:r>
    </w:p>
    <w:p>
      <w:pPr>
        <w:spacing w:line="480" w:lineRule="exact"/>
        <w:rPr>
          <w:rFonts w:ascii="黑体" w:hAnsi="黑体" w:eastAsia="黑体"/>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 xml:space="preserve">    </w:t>
      </w:r>
      <w:r>
        <w:rPr>
          <w:rFonts w:hint="eastAsia" w:ascii="黑体" w:hAnsi="黑体" w:eastAsia="黑体"/>
          <w:color w:val="000000" w:themeColor="text1"/>
          <w:sz w:val="28"/>
          <w:szCs w:val="28"/>
          <w14:textFill>
            <w14:solidFill>
              <w14:schemeClr w14:val="tx1"/>
            </w14:solidFill>
          </w14:textFill>
        </w:rPr>
        <w:t>四、课程选题</w:t>
      </w:r>
    </w:p>
    <w:p>
      <w:pPr>
        <w:pStyle w:val="20"/>
        <w:spacing w:before="0" w:beforeAutospacing="0" w:after="0" w:afterAutospacing="0" w:line="480" w:lineRule="exact"/>
        <w:jc w:val="both"/>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xml:space="preserve">    2018年上海市高校理论宣讲微课程的选题依照习近平新时代中国特色社会主义思想和党的十九大精神主题分为十个系列，计划筹建网络课程50门。具体参考选题参考附件一。 </w:t>
      </w:r>
    </w:p>
    <w:p>
      <w:pPr>
        <w:spacing w:line="500" w:lineRule="exact"/>
        <w:rPr>
          <w:rFonts w:ascii="黑体" w:hAnsi="黑体" w:eastAsia="黑体"/>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 xml:space="preserve">    </w:t>
      </w:r>
      <w:r>
        <w:rPr>
          <w:rFonts w:hint="eastAsia" w:ascii="黑体" w:hAnsi="黑体" w:eastAsia="黑体"/>
          <w:color w:val="000000" w:themeColor="text1"/>
          <w:sz w:val="28"/>
          <w:szCs w:val="28"/>
          <w14:textFill>
            <w14:solidFill>
              <w14:schemeClr w14:val="tx1"/>
            </w14:solidFill>
          </w14:textFill>
        </w:rPr>
        <w:t>五、课程建设流程及进度</w:t>
      </w:r>
    </w:p>
    <w:p>
      <w:pPr>
        <w:spacing w:line="50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 xml:space="preserve">    本次微课程作品以学校为单位进行推荐，每个学校推荐学生的人数不限，依照10个系列按要求报送参赛课程。建设流程分为课程比赛、课程培训、拍摄制作、网络推广四个阶段进行。</w:t>
      </w:r>
    </w:p>
    <w:p>
      <w:pPr>
        <w:spacing w:line="500" w:lineRule="exact"/>
        <w:rPr>
          <w:rFonts w:ascii="FangSong_GB2312" w:eastAsia="FangSong_GB2312"/>
          <w:b/>
          <w:color w:val="000000" w:themeColor="text1"/>
          <w:sz w:val="28"/>
          <w:szCs w:val="28"/>
          <w14:textFill>
            <w14:solidFill>
              <w14:schemeClr w14:val="tx1"/>
            </w14:solidFill>
          </w14:textFill>
        </w:rPr>
      </w:pPr>
      <w:r>
        <w:rPr>
          <w:rFonts w:hint="eastAsia" w:ascii="FangSong_GB2312" w:eastAsia="FangSong_GB2312"/>
          <w:b/>
          <w:color w:val="000000" w:themeColor="text1"/>
          <w:sz w:val="28"/>
          <w:szCs w:val="28"/>
          <w14:textFill>
            <w14:solidFill>
              <w14:schemeClr w14:val="tx1"/>
            </w14:solidFill>
          </w14:textFill>
        </w:rPr>
        <w:t xml:space="preserve">    （一）课程比赛</w:t>
      </w:r>
    </w:p>
    <w:p>
      <w:pPr>
        <w:spacing w:line="50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 xml:space="preserve">    1.提交材料与预审（9月10日-9月23日）</w:t>
      </w:r>
    </w:p>
    <w:p>
      <w:pPr>
        <w:spacing w:line="50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 xml:space="preserve">    （1）材料提交要求：</w:t>
      </w:r>
    </w:p>
    <w:p>
      <w:pPr>
        <w:spacing w:line="50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b/>
          <w:color w:val="000000" w:themeColor="text1"/>
          <w:sz w:val="28"/>
          <w:szCs w:val="28"/>
          <w14:textFill>
            <w14:solidFill>
              <w14:schemeClr w14:val="tx1"/>
            </w14:solidFill>
          </w14:textFill>
        </w:rPr>
        <w:t xml:space="preserve">    </w:t>
      </w:r>
      <w:r>
        <w:rPr>
          <w:rFonts w:hint="eastAsia" w:ascii="FangSong_GB2312" w:eastAsia="FangSong_GB2312"/>
          <w:color w:val="000000" w:themeColor="text1"/>
          <w:sz w:val="28"/>
          <w:szCs w:val="28"/>
          <w14:textFill>
            <w14:solidFill>
              <w14:schemeClr w14:val="tx1"/>
            </w14:solidFill>
          </w14:textFill>
        </w:rPr>
        <w:t>每位选手均需提交以下五个材料：</w:t>
      </w:r>
      <w:r>
        <w:rPr>
          <w:rFonts w:ascii="FangSong_GB2312" w:eastAsia="FangSong_GB2312"/>
          <w:color w:val="000000" w:themeColor="text1"/>
          <w:sz w:val="28"/>
          <w:szCs w:val="28"/>
          <w14:textFill>
            <w14:solidFill>
              <w14:schemeClr w14:val="tx1"/>
            </w14:solidFill>
          </w14:textFill>
        </w:rPr>
        <w:t xml:space="preserve"> </w:t>
      </w:r>
    </w:p>
    <w:p>
      <w:pPr>
        <w:spacing w:line="50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 xml:space="preserve">    </w:t>
      </w:r>
      <w:r>
        <w:rPr>
          <w:rFonts w:hint="eastAsia" w:ascii="FangSong_GB2312" w:eastAsia="FangSong_GB2312"/>
          <w:b/>
          <w:color w:val="000000" w:themeColor="text1"/>
          <w:sz w:val="28"/>
          <w:szCs w:val="28"/>
          <w14:textFill>
            <w14:solidFill>
              <w14:schemeClr w14:val="tx1"/>
            </w14:solidFill>
          </w14:textFill>
        </w:rPr>
        <w:t>报名表</w:t>
      </w:r>
      <w:r>
        <w:rPr>
          <w:rFonts w:hint="eastAsia" w:ascii="FangSong_GB2312" w:eastAsia="FangSong_GB2312"/>
          <w:color w:val="000000" w:themeColor="text1"/>
          <w:sz w:val="28"/>
          <w:szCs w:val="28"/>
          <w14:textFill>
            <w14:solidFill>
              <w14:schemeClr w14:val="tx1"/>
            </w14:solidFill>
          </w14:textFill>
        </w:rPr>
        <w:t>（附件二）。</w:t>
      </w:r>
    </w:p>
    <w:p>
      <w:pPr>
        <w:spacing w:line="50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 xml:space="preserve">    </w:t>
      </w:r>
      <w:r>
        <w:rPr>
          <w:rFonts w:hint="eastAsia" w:ascii="FangSong_GB2312" w:eastAsia="FangSong_GB2312"/>
          <w:b/>
          <w:color w:val="000000" w:themeColor="text1"/>
          <w:sz w:val="28"/>
          <w:szCs w:val="28"/>
          <w14:textFill>
            <w14:solidFill>
              <w14:schemeClr w14:val="tx1"/>
            </w14:solidFill>
          </w14:textFill>
        </w:rPr>
        <w:t>报名汇总表</w:t>
      </w:r>
      <w:r>
        <w:rPr>
          <w:rFonts w:hint="eastAsia" w:ascii="FangSong_GB2312" w:eastAsia="FangSong_GB2312"/>
          <w:color w:val="000000" w:themeColor="text1"/>
          <w:sz w:val="28"/>
          <w:szCs w:val="28"/>
          <w14:textFill>
            <w14:solidFill>
              <w14:schemeClr w14:val="tx1"/>
            </w14:solidFill>
          </w14:textFill>
        </w:rPr>
        <w:t>（附件三）。</w:t>
      </w:r>
    </w:p>
    <w:p>
      <w:pPr>
        <w:spacing w:line="50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 xml:space="preserve">    </w:t>
      </w:r>
      <w:r>
        <w:rPr>
          <w:rFonts w:hint="eastAsia" w:ascii="FangSong_GB2312" w:eastAsia="FangSong_GB2312"/>
          <w:b/>
          <w:color w:val="000000" w:themeColor="text1"/>
          <w:sz w:val="28"/>
          <w:szCs w:val="28"/>
          <w14:textFill>
            <w14:solidFill>
              <w14:schemeClr w14:val="tx1"/>
            </w14:solidFill>
          </w14:textFill>
        </w:rPr>
        <w:t>评审及专家顾问推荐表</w:t>
      </w:r>
      <w:r>
        <w:rPr>
          <w:rFonts w:hint="eastAsia" w:ascii="FangSong_GB2312" w:eastAsia="FangSong_GB2312"/>
          <w:color w:val="000000" w:themeColor="text1"/>
          <w:sz w:val="28"/>
          <w:szCs w:val="28"/>
          <w14:textFill>
            <w14:solidFill>
              <w14:schemeClr w14:val="tx1"/>
            </w14:solidFill>
          </w14:textFill>
        </w:rPr>
        <w:t>（附件四）。</w:t>
      </w:r>
    </w:p>
    <w:p>
      <w:pPr>
        <w:spacing w:line="50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 xml:space="preserve">    </w:t>
      </w:r>
      <w:r>
        <w:rPr>
          <w:rFonts w:hint="eastAsia" w:ascii="FangSong_GB2312" w:eastAsia="FangSong_GB2312"/>
          <w:b/>
          <w:color w:val="000000" w:themeColor="text1"/>
          <w:sz w:val="28"/>
          <w:szCs w:val="28"/>
          <w14:textFill>
            <w14:solidFill>
              <w14:schemeClr w14:val="tx1"/>
            </w14:solidFill>
          </w14:textFill>
        </w:rPr>
        <w:t>演示文稿</w:t>
      </w:r>
      <w:r>
        <w:rPr>
          <w:rFonts w:hint="eastAsia" w:ascii="FangSong_GB2312" w:eastAsia="FangSong_GB2312"/>
          <w:color w:val="000000" w:themeColor="text1"/>
          <w:sz w:val="28"/>
          <w:szCs w:val="28"/>
          <w14:textFill>
            <w14:solidFill>
              <w14:schemeClr w14:val="tx1"/>
            </w14:solidFill>
          </w14:textFill>
        </w:rPr>
        <w:t>：要求以 PPT 或PPTX格式提交，围绕教学目标，反映主要教学内容，与教学视频合理搭配。演示文稿可通过脚注或者参考文献的方式注明引用情况。</w:t>
      </w:r>
    </w:p>
    <w:p>
      <w:pPr>
        <w:spacing w:line="50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 xml:space="preserve">    </w:t>
      </w:r>
      <w:r>
        <w:rPr>
          <w:rFonts w:hint="eastAsia" w:ascii="FangSong_GB2312" w:eastAsia="FangSong_GB2312"/>
          <w:b/>
          <w:color w:val="000000" w:themeColor="text1"/>
          <w:sz w:val="28"/>
          <w:szCs w:val="28"/>
          <w14:textFill>
            <w14:solidFill>
              <w14:schemeClr w14:val="tx1"/>
            </w14:solidFill>
          </w14:textFill>
        </w:rPr>
        <w:t>微课设计（教案）文稿</w:t>
      </w:r>
      <w:r>
        <w:rPr>
          <w:rFonts w:hint="eastAsia" w:ascii="FangSong_GB2312" w:eastAsia="FangSong_GB2312"/>
          <w:color w:val="000000" w:themeColor="text1"/>
          <w:sz w:val="28"/>
          <w:szCs w:val="28"/>
          <w14:textFill>
            <w14:solidFill>
              <w14:schemeClr w14:val="tx1"/>
            </w14:solidFill>
          </w14:textFill>
        </w:rPr>
        <w:t>：要求为 WORD 和 PDF格式（同时提交），应反映课程的设计思路和理论内容，包括教学背景、教学目标、教学方法和教学内容等方面内容。</w:t>
      </w:r>
    </w:p>
    <w:p>
      <w:pPr>
        <w:spacing w:line="50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 xml:space="preserve">    </w:t>
      </w:r>
      <w:r>
        <w:rPr>
          <w:rFonts w:hint="eastAsia" w:ascii="FangSong_GB2312" w:eastAsia="FangSong_GB2312"/>
          <w:b/>
          <w:color w:val="000000" w:themeColor="text1"/>
          <w:sz w:val="28"/>
          <w:szCs w:val="28"/>
          <w14:textFill>
            <w14:solidFill>
              <w14:schemeClr w14:val="tx1"/>
            </w14:solidFill>
          </w14:textFill>
        </w:rPr>
        <w:t>微课程视频</w:t>
      </w:r>
      <w:r>
        <w:rPr>
          <w:rFonts w:hint="eastAsia" w:ascii="FangSong_GB2312" w:eastAsia="FangSong_GB2312"/>
          <w:color w:val="000000" w:themeColor="text1"/>
          <w:sz w:val="28"/>
          <w:szCs w:val="28"/>
          <w14:textFill>
            <w14:solidFill>
              <w14:schemeClr w14:val="tx1"/>
            </w14:solidFill>
          </w14:textFill>
        </w:rPr>
        <w:t>：要求为MP4格式，建议720P清晰度，时长以45分钟为宜，无抖动、无杂音，能较全面真实反映教学情境，不需要过度加工。</w:t>
      </w:r>
    </w:p>
    <w:p>
      <w:pPr>
        <w:spacing w:line="50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 xml:space="preserve">    此次课程比赛各高校均提交电子版材料，请各参赛高校打包压缩本校全体参与学生的报名表、报名汇总表、演示文稿、微课设计（教案）文稿和微课视频，以“2018微课程+学校名称”命名，于9月23日前发送至shweike2018@163.com。原则上各高校至少推荐1人。</w:t>
      </w:r>
    </w:p>
    <w:p>
      <w:pPr>
        <w:spacing w:line="50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 xml:space="preserve">    （2）材料初审（9月24日-10月12日）</w:t>
      </w:r>
    </w:p>
    <w:p>
      <w:pPr>
        <w:spacing w:line="50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 xml:space="preserve">    材料初审将由评审委员会进行初审，各参赛单位可推荐1名宣传部相关负责人或课程内容相关专业老师进入评审委员会。</w:t>
      </w:r>
    </w:p>
    <w:p>
      <w:pPr>
        <w:spacing w:line="50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 xml:space="preserve">    课程比赛主办方将本着公开、公正和本校回避的原则将微课程及相关材料发送至评委老师进行线上打分。</w:t>
      </w:r>
    </w:p>
    <w:p>
      <w:pPr>
        <w:spacing w:line="50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 xml:space="preserve">    主办方将按照课程系列，根据每门课程的得分决定进入最终课程建设的50门课程，并推荐每个系列的得分第一名名的课程进行现场决赛。</w:t>
      </w:r>
    </w:p>
    <w:p>
      <w:pPr>
        <w:spacing w:line="500" w:lineRule="exact"/>
        <w:ind w:firstLine="64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（3）现场决赛（10月26日）</w:t>
      </w:r>
    </w:p>
    <w:p>
      <w:pPr>
        <w:spacing w:line="50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 xml:space="preserve">    每个系列课程初审第一名的授课者需将课程改版为8分钟的现场展示授课。</w:t>
      </w:r>
    </w:p>
    <w:p>
      <w:pPr>
        <w:spacing w:line="50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 xml:space="preserve">    现场评委将对10门课进行打分，并评选出一等奖2名，二等奖3名和三等奖5名，并颁发证书和奖金。</w:t>
      </w:r>
    </w:p>
    <w:p>
      <w:pPr>
        <w:spacing w:line="50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 xml:space="preserve">    主办方将对进入现场决赛的课程进行重点推广。</w:t>
      </w:r>
    </w:p>
    <w:p>
      <w:pPr>
        <w:spacing w:line="50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 xml:space="preserve">    （二）课程培训（10月15日-11月2日）</w:t>
      </w:r>
    </w:p>
    <w:p>
      <w:pPr>
        <w:spacing w:line="50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 xml:space="preserve">    1.专家顾问委员会将根据初审视频课程对50门入选课程提出修改意见，各参赛单位可推荐1名宣传部相关负责人或课程内容相关专业老师进入顾问委员会。</w:t>
      </w:r>
    </w:p>
    <w:p>
      <w:pPr>
        <w:spacing w:line="50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 xml:space="preserve">    2.承办方将组织针对讲课技巧、网络传播要求等的集体培训。</w:t>
      </w:r>
    </w:p>
    <w:p>
      <w:pPr>
        <w:spacing w:line="50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 xml:space="preserve">    （三）拍摄制作（11月5日-11月30日）</w:t>
      </w:r>
    </w:p>
    <w:p>
      <w:pPr>
        <w:spacing w:line="50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 xml:space="preserve">    1.入选的50门课程将在11月进行集中课程录制、剪辑和制作。</w:t>
      </w:r>
    </w:p>
    <w:p>
      <w:pPr>
        <w:spacing w:line="50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 xml:space="preserve">    2.录制安排表及具体时间将有承办方和课程主讲人协商决定。</w:t>
      </w:r>
    </w:p>
    <w:p>
      <w:pPr>
        <w:spacing w:line="50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 xml:space="preserve">    3.录制过程的着装、PPT风格等其他要求会在50门课确定后另行通知。</w:t>
      </w:r>
    </w:p>
    <w:p>
      <w:pPr>
        <w:spacing w:line="500" w:lineRule="exact"/>
        <w:ind w:firstLine="60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（四）网络推广（12月1日-12月31日）</w:t>
      </w:r>
    </w:p>
    <w:p>
      <w:pPr>
        <w:spacing w:line="500" w:lineRule="exact"/>
        <w:ind w:firstLine="60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1.主办方将对50门课进行易班课程的统一建设。</w:t>
      </w:r>
    </w:p>
    <w:p>
      <w:pPr>
        <w:spacing w:line="50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 xml:space="preserve">    2.承办方将对进入现场决赛的课程在各大网络平台进行重点推广。</w:t>
      </w:r>
    </w:p>
    <w:p>
      <w:pPr>
        <w:spacing w:line="500" w:lineRule="exact"/>
        <w:ind w:firstLine="60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3.所有课程将提供给上海市党政机关、基层、事业单位等作为网络课程资源供其学习时使用。</w:t>
      </w:r>
    </w:p>
    <w:p>
      <w:pPr>
        <w:spacing w:line="500" w:lineRule="exact"/>
        <w:ind w:firstLine="600"/>
        <w:rPr>
          <w:rFonts w:ascii="FangSong_GB2312" w:eastAsia="FangSong_GB2312"/>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五、工作要求</w:t>
      </w:r>
    </w:p>
    <w:p>
      <w:pPr>
        <w:spacing w:line="48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 xml:space="preserve">    1.加强领导，精心组织。各高校要提高对本次课程筹建的重视，委派相关部门开展进行人员组织、工作引导、培训辅导和遴选推荐工作，并对本单位推荐作品的内容进行严格把关。</w:t>
      </w:r>
    </w:p>
    <w:p>
      <w:pPr>
        <w:spacing w:line="48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 xml:space="preserve">    2.合理共享，扩大影响。参与课程筹建的同学享有作品的著作权，除主办、承办单位外其他单位转播需得到参赛选手本人授权。上海市理论宣讲社团联盟秘书处有权对作品进行网络转播。</w:t>
      </w:r>
    </w:p>
    <w:p>
      <w:pPr>
        <w:spacing w:line="480" w:lineRule="exact"/>
        <w:rPr>
          <w:rFonts w:ascii="FangSong_GB2312" w:hAnsi="黑体" w:eastAsia="FangSong_GB2312"/>
          <w:b/>
          <w:color w:val="000000" w:themeColor="text1"/>
          <w:sz w:val="28"/>
          <w:szCs w:val="28"/>
          <w14:textFill>
            <w14:solidFill>
              <w14:schemeClr w14:val="tx1"/>
            </w14:solidFill>
          </w14:textFill>
        </w:rPr>
      </w:pPr>
      <w:r>
        <w:rPr>
          <w:rFonts w:hint="eastAsia" w:ascii="FangSong_GB2312" w:hAnsi="黑体" w:eastAsia="FangSong_GB2312"/>
          <w:b/>
          <w:color w:val="000000" w:themeColor="text1"/>
          <w:sz w:val="28"/>
          <w:szCs w:val="28"/>
          <w14:textFill>
            <w14:solidFill>
              <w14:schemeClr w14:val="tx1"/>
            </w14:solidFill>
          </w14:textFill>
        </w:rPr>
        <w:t xml:space="preserve">    </w:t>
      </w:r>
    </w:p>
    <w:p>
      <w:pPr>
        <w:spacing w:line="480" w:lineRule="exact"/>
        <w:rPr>
          <w:rFonts w:ascii="FangSong_GB2312" w:hAnsi="黑体" w:eastAsia="FangSong_GB2312"/>
          <w:color w:val="000000" w:themeColor="text1"/>
          <w:sz w:val="28"/>
          <w:szCs w:val="28"/>
          <w14:textFill>
            <w14:solidFill>
              <w14:schemeClr w14:val="tx1"/>
            </w14:solidFill>
          </w14:textFill>
        </w:rPr>
      </w:pPr>
      <w:r>
        <w:rPr>
          <w:rFonts w:hint="eastAsia" w:ascii="FangSong_GB2312" w:hAnsi="黑体" w:eastAsia="FangSong_GB2312"/>
          <w:b/>
          <w:color w:val="000000" w:themeColor="text1"/>
          <w:sz w:val="28"/>
          <w:szCs w:val="28"/>
          <w14:textFill>
            <w14:solidFill>
              <w14:schemeClr w14:val="tx1"/>
            </w14:solidFill>
          </w14:textFill>
        </w:rPr>
        <w:t xml:space="preserve">    </w:t>
      </w:r>
      <w:r>
        <w:rPr>
          <w:rFonts w:hint="eastAsia" w:ascii="FangSong_GB2312" w:hAnsi="黑体" w:eastAsia="FangSong_GB2312"/>
          <w:color w:val="000000" w:themeColor="text1"/>
          <w:sz w:val="28"/>
          <w:szCs w:val="28"/>
          <w14:textFill>
            <w14:solidFill>
              <w14:schemeClr w14:val="tx1"/>
            </w14:solidFill>
          </w14:textFill>
        </w:rPr>
        <w:t>联系人：</w:t>
      </w:r>
    </w:p>
    <w:p>
      <w:pPr>
        <w:spacing w:line="480" w:lineRule="exact"/>
        <w:ind w:firstLine="600"/>
        <w:rPr>
          <w:rFonts w:ascii="仿宋_GB2312" w:hAnsi="仿宋_GB2312" w:eastAsia="仿宋_GB2312" w:cs="仿宋_GB2312"/>
          <w:sz w:val="28"/>
          <w:szCs w:val="28"/>
        </w:rPr>
      </w:pPr>
      <w:r>
        <w:rPr>
          <w:rFonts w:hint="eastAsia" w:ascii="仿宋_GB2312" w:hAnsi="仿宋_GB2312" w:eastAsia="仿宋_GB2312" w:cs="仿宋_GB2312"/>
          <w:sz w:val="28"/>
          <w:szCs w:val="28"/>
        </w:rPr>
        <w:t>市教卫工作党委宣传处：</w:t>
      </w:r>
    </w:p>
    <w:p>
      <w:pPr>
        <w:spacing w:line="480" w:lineRule="exact"/>
        <w:ind w:firstLine="600"/>
        <w:rPr>
          <w:rFonts w:ascii="仿宋_GB2312" w:hAnsi="仿宋_GB2312" w:eastAsia="仿宋_GB2312" w:cs="仿宋_GB2312"/>
          <w:sz w:val="28"/>
          <w:szCs w:val="28"/>
        </w:rPr>
      </w:pPr>
      <w:r>
        <w:rPr>
          <w:rFonts w:hint="eastAsia" w:ascii="仿宋_GB2312" w:hAnsi="仿宋_GB2312" w:eastAsia="仿宋_GB2312" w:cs="仿宋_GB2312"/>
          <w:sz w:val="28"/>
          <w:szCs w:val="28"/>
        </w:rPr>
        <w:t>郁晓昕          23112910</w:t>
      </w:r>
    </w:p>
    <w:p>
      <w:pPr>
        <w:spacing w:line="480" w:lineRule="exact"/>
        <w:ind w:firstLine="60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上海教育系统网络文化发展研究中心：</w:t>
      </w:r>
    </w:p>
    <w:p>
      <w:pPr>
        <w:spacing w:line="480" w:lineRule="exact"/>
        <w:ind w:firstLine="60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王震威          25653366</w:t>
      </w:r>
    </w:p>
    <w:p>
      <w:pPr>
        <w:spacing w:line="480" w:lineRule="exact"/>
        <w:ind w:firstLine="60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复旦大学：</w:t>
      </w:r>
    </w:p>
    <w:p>
      <w:pPr>
        <w:spacing w:line="480" w:lineRule="exact"/>
        <w:ind w:firstLine="60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柴宏宇、陈聪    65642119</w:t>
      </w:r>
    </w:p>
    <w:p>
      <w:pPr>
        <w:spacing w:line="480" w:lineRule="exact"/>
        <w:rPr>
          <w:rFonts w:ascii="FangSong_GB2312" w:hAnsi="黑体" w:eastAsia="FangSong_GB2312"/>
          <w:color w:val="000000" w:themeColor="text1"/>
          <w:sz w:val="28"/>
          <w:szCs w:val="28"/>
          <w14:textFill>
            <w14:solidFill>
              <w14:schemeClr w14:val="tx1"/>
            </w14:solidFill>
          </w14:textFill>
        </w:rPr>
      </w:pPr>
    </w:p>
    <w:p>
      <w:pPr>
        <w:spacing w:line="480" w:lineRule="exact"/>
        <w:rPr>
          <w:rFonts w:ascii="FangSong_GB2312" w:hAnsi="黑体" w:eastAsia="FangSong_GB2312"/>
          <w:color w:val="000000" w:themeColor="text1"/>
          <w:sz w:val="28"/>
          <w:szCs w:val="28"/>
          <w14:textFill>
            <w14:solidFill>
              <w14:schemeClr w14:val="tx1"/>
            </w14:solidFill>
          </w14:textFill>
        </w:rPr>
      </w:pPr>
      <w:r>
        <w:rPr>
          <w:rFonts w:hint="eastAsia" w:ascii="FangSong_GB2312" w:hAnsi="黑体" w:eastAsia="FangSong_GB2312"/>
          <w:color w:val="000000" w:themeColor="text1"/>
          <w:sz w:val="28"/>
          <w:szCs w:val="28"/>
          <w14:textFill>
            <w14:solidFill>
              <w14:schemeClr w14:val="tx1"/>
            </w14:solidFill>
          </w14:textFill>
        </w:rPr>
        <w:t>附件：</w:t>
      </w:r>
      <w:r>
        <w:rPr>
          <w:rFonts w:hint="eastAsia" w:ascii="FangSong_GB2312" w:eastAsia="FangSong_GB2312"/>
          <w:color w:val="000000" w:themeColor="text1"/>
          <w:sz w:val="28"/>
          <w:szCs w:val="28"/>
          <w14:textFill>
            <w14:solidFill>
              <w14:schemeClr w14:val="tx1"/>
            </w14:solidFill>
          </w14:textFill>
        </w:rPr>
        <w:t>1.上海市高校理论宣讲微课程参考选题</w:t>
      </w:r>
    </w:p>
    <w:p>
      <w:pPr>
        <w:spacing w:line="48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 xml:space="preserve">      2.上海市高校理论宣讲微课程报名表</w:t>
      </w:r>
    </w:p>
    <w:p>
      <w:pPr>
        <w:spacing w:line="48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 xml:space="preserve">      3.上海市高校理论宣讲微课程推荐汇总表</w:t>
      </w:r>
    </w:p>
    <w:p>
      <w:pPr>
        <w:spacing w:line="48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 xml:space="preserve">      4.上海市高校理论宣讲微课程评审及专家顾问推荐表</w:t>
      </w:r>
    </w:p>
    <w:p>
      <w:pPr>
        <w:spacing w:line="48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 xml:space="preserve">      5.上海市高校理论宣讲微课程初审评选标准及规则</w:t>
      </w:r>
    </w:p>
    <w:p>
      <w:pPr>
        <w:spacing w:line="48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 xml:space="preserve">      6.上海市高校研究生微课程现场决赛评审评选标准及规则</w:t>
      </w:r>
    </w:p>
    <w:p>
      <w:pPr>
        <w:pStyle w:val="20"/>
        <w:widowControl w:val="0"/>
        <w:spacing w:before="0" w:beforeAutospacing="0" w:after="0" w:afterAutospacing="0" w:line="500" w:lineRule="exact"/>
        <w:jc w:val="both"/>
        <w:rPr>
          <w:rFonts w:ascii="仿宋_GB2312" w:hAnsi="仿宋_GB2312" w:eastAsia="仿宋_GB2312" w:cs="仿宋_GB2312"/>
          <w:kern w:val="2"/>
          <w:sz w:val="28"/>
          <w:szCs w:val="28"/>
        </w:rPr>
      </w:pPr>
    </w:p>
    <w:p>
      <w:pPr>
        <w:pStyle w:val="20"/>
        <w:widowControl w:val="0"/>
        <w:spacing w:before="0" w:beforeAutospacing="0" w:after="0" w:afterAutospacing="0" w:line="500" w:lineRule="exact"/>
        <w:ind w:firstLine="4480" w:firstLineChars="1600"/>
        <w:jc w:val="both"/>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市教卫工作党委宣传处</w:t>
      </w:r>
    </w:p>
    <w:p>
      <w:pPr>
        <w:pStyle w:val="20"/>
        <w:widowControl w:val="0"/>
        <w:spacing w:before="0" w:beforeAutospacing="0" w:after="0" w:afterAutospacing="0" w:line="500" w:lineRule="exact"/>
        <w:ind w:firstLine="2800" w:firstLineChars="1000"/>
        <w:jc w:val="both"/>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上海教育系统网络文化发展研究中心（代章）</w:t>
      </w:r>
    </w:p>
    <w:p>
      <w:pPr>
        <w:pStyle w:val="20"/>
        <w:widowControl w:val="0"/>
        <w:spacing w:before="0" w:beforeAutospacing="0" w:after="0" w:afterAutospacing="0" w:line="500" w:lineRule="exact"/>
        <w:ind w:firstLine="4760" w:firstLineChars="1700"/>
        <w:jc w:val="both"/>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2018年8月2</w:t>
      </w:r>
      <w:r>
        <w:rPr>
          <w:rFonts w:hint="eastAsia" w:ascii="仿宋_GB2312" w:hAnsi="仿宋_GB2312" w:eastAsia="仿宋_GB2312" w:cs="仿宋_GB2312"/>
          <w:kern w:val="2"/>
          <w:sz w:val="28"/>
          <w:szCs w:val="28"/>
          <w:lang w:val="en-US" w:eastAsia="zh-CN"/>
        </w:rPr>
        <w:t>8</w:t>
      </w:r>
      <w:r>
        <w:rPr>
          <w:rFonts w:hint="eastAsia" w:ascii="仿宋_GB2312" w:hAnsi="仿宋_GB2312" w:eastAsia="仿宋_GB2312" w:cs="仿宋_GB2312"/>
          <w:kern w:val="2"/>
          <w:sz w:val="28"/>
          <w:szCs w:val="28"/>
        </w:rPr>
        <w:t>日</w:t>
      </w:r>
    </w:p>
    <w:p>
      <w:pPr>
        <w:widowControl/>
        <w:spacing w:line="420" w:lineRule="exact"/>
        <w:jc w:val="left"/>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附件1</w:t>
      </w:r>
    </w:p>
    <w:p>
      <w:pPr>
        <w:spacing w:line="540" w:lineRule="exact"/>
        <w:jc w:val="center"/>
        <w:rPr>
          <w:rFonts w:ascii="方正小标宋简体" w:eastAsia="方正小标宋简体"/>
          <w:b/>
          <w:color w:val="000000" w:themeColor="text1"/>
          <w:sz w:val="30"/>
          <w:szCs w:val="30"/>
          <w14:textFill>
            <w14:solidFill>
              <w14:schemeClr w14:val="tx1"/>
            </w14:solidFill>
          </w14:textFill>
        </w:rPr>
      </w:pPr>
      <w:r>
        <w:rPr>
          <w:rFonts w:hint="eastAsia" w:ascii="方正小标宋简体" w:eastAsia="方正小标宋简体"/>
          <w:b/>
          <w:color w:val="000000" w:themeColor="text1"/>
          <w:sz w:val="30"/>
          <w:szCs w:val="30"/>
          <w14:textFill>
            <w14:solidFill>
              <w14:schemeClr w14:val="tx1"/>
            </w14:solidFill>
          </w14:textFill>
        </w:rPr>
        <w:t>上海市高校理论宣讲微课程参考选题</w:t>
      </w:r>
    </w:p>
    <w:p>
      <w:pPr>
        <w:spacing w:line="54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1. 新时代中国特色社会主义</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（1）新时代中国特色社会主义的内涵与逻辑</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（2）新时代我国社会主要矛盾的变化</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（3）我国发展新的历史方位</w:t>
      </w:r>
    </w:p>
    <w:p>
      <w:pPr>
        <w:spacing w:line="54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2.中国共产党的历史使命</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（1）新民主主义革命时期党的历史使命</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（2）社会主义革命时期党的历史使命</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（3）改革开放以来党的历史使命</w:t>
      </w:r>
    </w:p>
    <w:p>
      <w:pPr>
        <w:spacing w:line="54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3.中国特色社会主义经济建设</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（1）五大发展理念</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（2）完善社会主义市场经济体制</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（3）全面开放新格局</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（4）经济全球化进程</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（5）供给侧结构性改革</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（6）区域协调发展战略</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（7）创新驱动发展战略</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（8）乡村振兴战略</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（9）可持续发展战略</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（10）“以人民为中心”的发展思想</w:t>
      </w:r>
    </w:p>
    <w:p>
      <w:pPr>
        <w:spacing w:line="54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4.中国特色社会主义政治建设</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（1）国家治理体系和治理能力现代化</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（2）中国特色社会主义政治发展道路</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（3）党的领导、人民当家作主、依法治国的有机统一</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（4）多党合作和政治协商制度</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（5）民族区域自治制度</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（6）基层群众自治制度</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（7）依法治国和以德治国相结合</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（8）提高全民族法治素养和道德建设</w:t>
      </w:r>
    </w:p>
    <w:p>
      <w:pPr>
        <w:spacing w:line="54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5.中国特色社会主义文化建设</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（1）构筑中国精神、中国价值、中国力量</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（2）践行社会主义核心价值观</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（3）弘扬中华优秀传统文化</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（4）传承革命文化</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（5）繁荣发展社会主义文艺</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（6）推动文化事业和文化产业发展</w:t>
      </w:r>
    </w:p>
    <w:p>
      <w:pPr>
        <w:spacing w:line="54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6.中国特色社会主义社会建设</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（1）打好脱贫攻坚战</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（2）完善社会保障体系（养老、医疗）</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（3）实施科教兴国战略</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（4）实施健康中国战略</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（5）树立国家总体安全观</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（6）构建共建共治共享的社会治理格局</w:t>
      </w:r>
    </w:p>
    <w:p>
      <w:pPr>
        <w:spacing w:line="54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7.中国特色社会主义生态建设</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（1）坚持绿色发展理念</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（2）统筹山水林田湖草系统治理</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（3）改革生态环境监管体系</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（4）推进大气、水、土壤等突出环境问题治理</w:t>
      </w:r>
    </w:p>
    <w:p>
      <w:pPr>
        <w:spacing w:line="54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8.中国特色社会主义外交</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（1）大国关系及周边外交</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（2）“一带一路”建设</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（3）构建人类命运共同体</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（4）“全方位、多层次、立体化”外交布局</w:t>
      </w:r>
    </w:p>
    <w:p>
      <w:pPr>
        <w:spacing w:line="54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9.中国共产党的建设</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（1）把党的政治建设摆在首位</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（2）“四个意识”解读</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（3）党内监督、党内政治文化、党内政治生态建设</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（4）反腐败斗争</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（5）党的理论创新</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（6）党的基层组织建设</w:t>
      </w:r>
    </w:p>
    <w:p>
      <w:pPr>
        <w:spacing w:line="54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10.面向中小学生科普类</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（1）数学类</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（2）物理类</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（3）化学类</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（4）生物类</w:t>
      </w:r>
    </w:p>
    <w:p>
      <w:pPr>
        <w:spacing w:line="540" w:lineRule="exact"/>
        <w:ind w:firstLine="480"/>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（5）医学类</w:t>
      </w:r>
    </w:p>
    <w:p>
      <w:pPr>
        <w:spacing w:line="540" w:lineRule="exact"/>
        <w:rPr>
          <w:rFonts w:ascii="FangSong_GB2312" w:eastAsia="FangSong_GB2312"/>
          <w:color w:val="000000" w:themeColor="text1"/>
          <w:sz w:val="28"/>
          <w:szCs w:val="28"/>
          <w14:textFill>
            <w14:solidFill>
              <w14:schemeClr w14:val="tx1"/>
            </w14:solidFill>
          </w14:textFill>
        </w:rPr>
      </w:pPr>
      <w:r>
        <w:rPr>
          <w:rFonts w:hint="eastAsia" w:ascii="FangSong_GB2312" w:eastAsia="FangSong_GB2312"/>
          <w:color w:val="000000" w:themeColor="text1"/>
          <w:sz w:val="28"/>
          <w:szCs w:val="28"/>
          <w14:textFill>
            <w14:solidFill>
              <w14:schemeClr w14:val="tx1"/>
            </w14:solidFill>
          </w14:textFill>
        </w:rPr>
        <w:t xml:space="preserve">    注：上述具体选题仅供参考，课程选题可依照10个系列但不限于以上具体选题。 </w:t>
      </w:r>
    </w:p>
    <w:p>
      <w:pPr>
        <w:widowControl/>
        <w:spacing w:line="420" w:lineRule="exact"/>
        <w:jc w:val="left"/>
        <w:rPr>
          <w:rFonts w:ascii="FangSong_GB2312" w:eastAsia="FangSong_GB2312"/>
          <w:color w:val="000000" w:themeColor="text1"/>
          <w:sz w:val="24"/>
          <w14:textFill>
            <w14:solidFill>
              <w14:schemeClr w14:val="tx1"/>
            </w14:solidFill>
          </w14:textFill>
        </w:rPr>
      </w:pPr>
    </w:p>
    <w:p>
      <w:pPr>
        <w:widowControl/>
        <w:spacing w:line="420" w:lineRule="exact"/>
        <w:jc w:val="left"/>
        <w:rPr>
          <w:rFonts w:ascii="FangSong_GB2312" w:eastAsia="FangSong_GB2312"/>
          <w:color w:val="000000" w:themeColor="text1"/>
          <w:sz w:val="24"/>
          <w14:textFill>
            <w14:solidFill>
              <w14:schemeClr w14:val="tx1"/>
            </w14:solidFill>
          </w14:textFill>
        </w:rPr>
      </w:pPr>
    </w:p>
    <w:p>
      <w:pPr>
        <w:widowControl/>
        <w:spacing w:line="420" w:lineRule="exact"/>
        <w:jc w:val="left"/>
        <w:rPr>
          <w:rFonts w:ascii="FangSong_GB2312" w:eastAsia="FangSong_GB2312"/>
          <w:color w:val="000000" w:themeColor="text1"/>
          <w:sz w:val="24"/>
          <w14:textFill>
            <w14:solidFill>
              <w14:schemeClr w14:val="tx1"/>
            </w14:solidFill>
          </w14:textFill>
        </w:rPr>
      </w:pPr>
    </w:p>
    <w:p>
      <w:pPr>
        <w:widowControl/>
        <w:spacing w:line="420" w:lineRule="exact"/>
        <w:jc w:val="left"/>
        <w:rPr>
          <w:rFonts w:ascii="FangSong_GB2312" w:eastAsia="FangSong_GB2312"/>
          <w:color w:val="000000" w:themeColor="text1"/>
          <w:sz w:val="24"/>
          <w14:textFill>
            <w14:solidFill>
              <w14:schemeClr w14:val="tx1"/>
            </w14:solidFill>
          </w14:textFill>
        </w:rPr>
      </w:pPr>
    </w:p>
    <w:p>
      <w:pPr>
        <w:widowControl/>
        <w:spacing w:line="420" w:lineRule="exact"/>
        <w:jc w:val="left"/>
        <w:rPr>
          <w:rFonts w:eastAsia="仿宋_GB2312"/>
          <w:color w:val="000000" w:themeColor="text1"/>
          <w:sz w:val="28"/>
          <w:szCs w:val="28"/>
          <w14:textFill>
            <w14:solidFill>
              <w14:schemeClr w14:val="tx1"/>
            </w14:solidFill>
          </w14:textFill>
        </w:rPr>
      </w:pPr>
    </w:p>
    <w:p>
      <w:pPr>
        <w:widowControl/>
        <w:spacing w:line="420" w:lineRule="exact"/>
        <w:jc w:val="left"/>
        <w:rPr>
          <w:rFonts w:eastAsia="仿宋_GB2312"/>
          <w:color w:val="000000" w:themeColor="text1"/>
          <w:sz w:val="28"/>
          <w:szCs w:val="28"/>
          <w14:textFill>
            <w14:solidFill>
              <w14:schemeClr w14:val="tx1"/>
            </w14:solidFill>
          </w14:textFill>
        </w:rPr>
      </w:pPr>
    </w:p>
    <w:p>
      <w:pPr>
        <w:widowControl/>
        <w:spacing w:line="420" w:lineRule="exact"/>
        <w:jc w:val="left"/>
        <w:rPr>
          <w:rFonts w:eastAsia="仿宋_GB2312"/>
          <w:color w:val="000000" w:themeColor="text1"/>
          <w:sz w:val="28"/>
          <w:szCs w:val="28"/>
          <w14:textFill>
            <w14:solidFill>
              <w14:schemeClr w14:val="tx1"/>
            </w14:solidFill>
          </w14:textFill>
        </w:rPr>
      </w:pPr>
    </w:p>
    <w:p>
      <w:pPr>
        <w:widowControl/>
        <w:spacing w:line="420" w:lineRule="exact"/>
        <w:jc w:val="left"/>
        <w:rPr>
          <w:rFonts w:eastAsia="仿宋_GB2312"/>
          <w:color w:val="000000" w:themeColor="text1"/>
          <w:sz w:val="28"/>
          <w:szCs w:val="28"/>
          <w14:textFill>
            <w14:solidFill>
              <w14:schemeClr w14:val="tx1"/>
            </w14:solidFill>
          </w14:textFill>
        </w:rPr>
      </w:pPr>
    </w:p>
    <w:p>
      <w:pPr>
        <w:widowControl/>
        <w:spacing w:line="420" w:lineRule="exact"/>
        <w:jc w:val="left"/>
        <w:rPr>
          <w:rFonts w:eastAsia="仿宋_GB2312"/>
          <w:color w:val="000000" w:themeColor="text1"/>
          <w:sz w:val="28"/>
          <w:szCs w:val="28"/>
          <w14:textFill>
            <w14:solidFill>
              <w14:schemeClr w14:val="tx1"/>
            </w14:solidFill>
          </w14:textFill>
        </w:rPr>
      </w:pPr>
    </w:p>
    <w:p>
      <w:pPr>
        <w:widowControl/>
        <w:spacing w:line="420" w:lineRule="exact"/>
        <w:jc w:val="left"/>
        <w:rPr>
          <w:rFonts w:eastAsia="仿宋_GB2312"/>
          <w:color w:val="000000" w:themeColor="text1"/>
          <w:sz w:val="28"/>
          <w:szCs w:val="28"/>
          <w14:textFill>
            <w14:solidFill>
              <w14:schemeClr w14:val="tx1"/>
            </w14:solidFill>
          </w14:textFill>
        </w:rPr>
      </w:pPr>
    </w:p>
    <w:p>
      <w:pPr>
        <w:widowControl/>
        <w:spacing w:line="420" w:lineRule="exact"/>
        <w:jc w:val="left"/>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附件2</w:t>
      </w:r>
    </w:p>
    <w:p>
      <w:pPr>
        <w:autoSpaceDE w:val="0"/>
        <w:autoSpaceDN w:val="0"/>
        <w:adjustRightInd w:val="0"/>
        <w:spacing w:line="360" w:lineRule="auto"/>
        <w:jc w:val="center"/>
        <w:rPr>
          <w:rFonts w:eastAsia="华文中宋"/>
          <w:color w:val="000000" w:themeColor="text1"/>
          <w:sz w:val="32"/>
          <w:szCs w:val="36"/>
          <w14:textFill>
            <w14:solidFill>
              <w14:schemeClr w14:val="tx1"/>
            </w14:solidFill>
          </w14:textFill>
        </w:rPr>
      </w:pPr>
      <w:r>
        <w:rPr>
          <w:rFonts w:hint="eastAsia" w:eastAsia="华文中宋"/>
          <w:color w:val="000000" w:themeColor="text1"/>
          <w:sz w:val="32"/>
          <w:szCs w:val="36"/>
          <w14:textFill>
            <w14:solidFill>
              <w14:schemeClr w14:val="tx1"/>
            </w14:solidFill>
          </w14:textFill>
        </w:rPr>
        <w:t>上海市高校理论宣讲微课程报名表</w:t>
      </w:r>
    </w:p>
    <w:p>
      <w:pPr>
        <w:autoSpaceDE w:val="0"/>
        <w:autoSpaceDN w:val="0"/>
        <w:adjustRightInd w:val="0"/>
        <w:spacing w:line="360" w:lineRule="auto"/>
        <w:jc w:val="left"/>
        <w:rPr>
          <w:rFonts w:eastAsia="仿宋_GB2312"/>
          <w:color w:val="000000" w:themeColor="text1"/>
          <w:sz w:val="28"/>
          <w:szCs w:val="28"/>
          <w:u w:val="single"/>
          <w14:textFill>
            <w14:solidFill>
              <w14:schemeClr w14:val="tx1"/>
            </w14:solidFill>
          </w14:textFill>
        </w:rPr>
      </w:pPr>
      <w:r>
        <w:rPr>
          <w:rFonts w:eastAsia="仿宋_GB2312"/>
          <w:color w:val="000000" w:themeColor="text1"/>
          <w:kern w:val="0"/>
          <w:sz w:val="28"/>
          <w:szCs w:val="28"/>
          <w14:textFill>
            <w14:solidFill>
              <w14:schemeClr w14:val="tx1"/>
            </w14:solidFill>
          </w14:textFill>
        </w:rPr>
        <w:t>学校：</w:t>
      </w:r>
      <w:r>
        <w:rPr>
          <w:rFonts w:hint="eastAsia" w:eastAsia="仿宋_GB2312"/>
          <w:color w:val="000000" w:themeColor="text1"/>
          <w:kern w:val="0"/>
          <w:sz w:val="28"/>
          <w:szCs w:val="28"/>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 xml:space="preserve">               </w:t>
      </w:r>
    </w:p>
    <w:tbl>
      <w:tblPr>
        <w:tblStyle w:val="13"/>
        <w:tblW w:w="91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1310"/>
        <w:gridCol w:w="665"/>
        <w:gridCol w:w="147"/>
        <w:gridCol w:w="851"/>
        <w:gridCol w:w="277"/>
        <w:gridCol w:w="999"/>
        <w:gridCol w:w="1399"/>
        <w:gridCol w:w="727"/>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姓名</w:t>
            </w:r>
          </w:p>
        </w:tc>
        <w:tc>
          <w:tcPr>
            <w:tcW w:w="1310"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360" w:lineRule="auto"/>
              <w:jc w:val="center"/>
              <w:rPr>
                <w:rFonts w:eastAsia="仿宋_GB2312"/>
                <w:color w:val="000000" w:themeColor="text1"/>
                <w:sz w:val="24"/>
                <w14:textFill>
                  <w14:solidFill>
                    <w14:schemeClr w14:val="tx1"/>
                  </w14:solidFill>
                </w14:textFill>
              </w:rPr>
            </w:pP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性别</w:t>
            </w: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360" w:lineRule="auto"/>
              <w:jc w:val="center"/>
              <w:rPr>
                <w:rFonts w:eastAsia="仿宋_GB2312"/>
                <w:color w:val="000000" w:themeColor="text1"/>
                <w:sz w:val="24"/>
                <w14:textFill>
                  <w14:solidFill>
                    <w14:schemeClr w14:val="tx1"/>
                  </w14:solidFill>
                </w14:textFill>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出生年月</w:t>
            </w:r>
          </w:p>
        </w:tc>
        <w:tc>
          <w:tcPr>
            <w:tcW w:w="1399" w:type="dxa"/>
            <w:tcBorders>
              <w:top w:val="single" w:color="auto" w:sz="4" w:space="0"/>
              <w:left w:val="single" w:color="auto" w:sz="4" w:space="0"/>
              <w:bottom w:val="single" w:color="auto" w:sz="4" w:space="0"/>
              <w:right w:val="single" w:color="auto" w:sz="4" w:space="0"/>
            </w:tcBorders>
            <w:vAlign w:val="center"/>
          </w:tcPr>
          <w:p>
            <w:pPr>
              <w:keepNext/>
              <w:keepLines/>
              <w:spacing w:before="260" w:after="260" w:line="360" w:lineRule="auto"/>
              <w:jc w:val="left"/>
              <w:rPr>
                <w:rFonts w:eastAsia="仿宋_GB2312"/>
                <w:color w:val="000000" w:themeColor="text1"/>
                <w:sz w:val="24"/>
                <w14:textFill>
                  <w14:solidFill>
                    <w14:schemeClr w14:val="tx1"/>
                  </w14:solidFill>
                </w14:textFill>
              </w:rPr>
            </w:pPr>
          </w:p>
        </w:tc>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电子邮箱</w:t>
            </w:r>
          </w:p>
        </w:tc>
        <w:tc>
          <w:tcPr>
            <w:tcW w:w="145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年级</w:t>
            </w:r>
          </w:p>
        </w:tc>
        <w:tc>
          <w:tcPr>
            <w:tcW w:w="1310"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360" w:lineRule="auto"/>
              <w:jc w:val="center"/>
              <w:rPr>
                <w:rFonts w:eastAsia="仿宋_GB2312"/>
                <w:color w:val="000000" w:themeColor="text1"/>
                <w:sz w:val="24"/>
                <w14:textFill>
                  <w14:solidFill>
                    <w14:schemeClr w14:val="tx1"/>
                  </w14:solidFill>
                </w14:textFill>
              </w:rPr>
            </w:pPr>
          </w:p>
        </w:tc>
        <w:tc>
          <w:tcPr>
            <w:tcW w:w="81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联系电话</w:t>
            </w: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360" w:lineRule="auto"/>
              <w:jc w:val="center"/>
              <w:rPr>
                <w:rFonts w:eastAsia="仿宋_GB2312"/>
                <w:color w:val="000000" w:themeColor="text1"/>
                <w:sz w:val="24"/>
                <w14:textFill>
                  <w14:solidFill>
                    <w14:schemeClr w14:val="tx1"/>
                  </w14:solidFill>
                </w14:textFill>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学历</w:t>
            </w:r>
          </w:p>
        </w:tc>
        <w:tc>
          <w:tcPr>
            <w:tcW w:w="139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eastAsia="仿宋_GB2312"/>
                <w:color w:val="000000" w:themeColor="text1"/>
                <w:sz w:val="24"/>
                <w14:textFill>
                  <w14:solidFill>
                    <w14:schemeClr w14:val="tx1"/>
                  </w14:solidFill>
                </w14:textFill>
              </w:rPr>
            </w:pPr>
          </w:p>
        </w:tc>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专业</w:t>
            </w:r>
          </w:p>
        </w:tc>
        <w:tc>
          <w:tcPr>
            <w:tcW w:w="145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4"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课程名称</w:t>
            </w:r>
          </w:p>
        </w:tc>
        <w:tc>
          <w:tcPr>
            <w:tcW w:w="1975" w:type="dxa"/>
            <w:gridSpan w:val="2"/>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rPr>
                <w:rFonts w:eastAsia="仿宋_GB2312"/>
                <w:color w:val="000000" w:themeColor="text1"/>
                <w:sz w:val="24"/>
                <w14:textFill>
                  <w14:solidFill>
                    <w14:schemeClr w14:val="tx1"/>
                  </w14:solidFill>
                </w14:textFill>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课程主题</w:t>
            </w:r>
          </w:p>
        </w:tc>
        <w:tc>
          <w:tcPr>
            <w:tcW w:w="4584" w:type="dxa"/>
            <w:gridSpan w:val="4"/>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6"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课程简介（300-500字）</w:t>
            </w:r>
          </w:p>
        </w:tc>
        <w:tc>
          <w:tcPr>
            <w:tcW w:w="7834" w:type="dxa"/>
            <w:gridSpan w:val="9"/>
            <w:tcBorders>
              <w:top w:val="single" w:color="auto" w:sz="4" w:space="0"/>
              <w:left w:val="single" w:color="auto" w:sz="4" w:space="0"/>
              <w:bottom w:val="single" w:color="auto" w:sz="4" w:space="0"/>
              <w:right w:val="single" w:color="auto" w:sz="4" w:space="0"/>
            </w:tcBorders>
          </w:tcPr>
          <w:p>
            <w:pPr>
              <w:spacing w:line="360" w:lineRule="auto"/>
              <w:rPr>
                <w:rFonts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3"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课程大纲</w:t>
            </w:r>
          </w:p>
        </w:tc>
        <w:tc>
          <w:tcPr>
            <w:tcW w:w="7834" w:type="dxa"/>
            <w:gridSpan w:val="9"/>
            <w:tcBorders>
              <w:top w:val="single" w:color="auto" w:sz="4" w:space="0"/>
              <w:left w:val="single" w:color="auto" w:sz="4" w:space="0"/>
              <w:bottom w:val="single" w:color="auto" w:sz="4" w:space="0"/>
              <w:right w:val="single" w:color="auto" w:sz="4" w:space="0"/>
            </w:tcBorders>
            <w:vAlign w:val="center"/>
          </w:tcPr>
          <w:p>
            <w:pPr>
              <w:keepNext/>
              <w:keepLines/>
              <w:spacing w:before="340" w:after="330"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3"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学校</w:t>
            </w:r>
          </w:p>
          <w:p>
            <w:pPr>
              <w:spacing w:line="360" w:lineRule="auto"/>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推荐意见</w:t>
            </w:r>
          </w:p>
        </w:tc>
        <w:tc>
          <w:tcPr>
            <w:tcW w:w="7834" w:type="dxa"/>
            <w:gridSpan w:val="9"/>
            <w:tcBorders>
              <w:top w:val="single" w:color="auto" w:sz="4" w:space="0"/>
              <w:left w:val="single" w:color="auto" w:sz="4" w:space="0"/>
              <w:bottom w:val="single" w:color="auto" w:sz="4" w:space="0"/>
              <w:right w:val="single" w:color="auto" w:sz="4" w:space="0"/>
            </w:tcBorders>
            <w:vAlign w:val="center"/>
          </w:tcPr>
          <w:p>
            <w:pPr>
              <w:keepNext/>
              <w:keepLines/>
              <w:spacing w:before="340" w:after="330" w:line="360" w:lineRule="auto"/>
              <w:rPr>
                <w:rFonts w:eastAsia="仿宋_GB2312"/>
                <w:color w:val="000000" w:themeColor="text1"/>
                <w:sz w:val="24"/>
                <w14:textFill>
                  <w14:solidFill>
                    <w14:schemeClr w14:val="tx1"/>
                  </w14:solidFill>
                </w14:textFill>
              </w:rPr>
            </w:pPr>
          </w:p>
          <w:p>
            <w:pPr>
              <w:spacing w:line="360" w:lineRule="auto"/>
              <w:ind w:firstLine="4200" w:firstLineChars="1750"/>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年</w:t>
            </w:r>
            <w:r>
              <w:rPr>
                <w:rFonts w:hint="eastAsia" w:eastAsia="仿宋_GB2312"/>
                <w:color w:val="000000" w:themeColor="text1"/>
                <w:sz w:val="24"/>
                <w14:textFill>
                  <w14:solidFill>
                    <w14:schemeClr w14:val="tx1"/>
                  </w14:solidFill>
                </w14:textFill>
              </w:rPr>
              <w:t xml:space="preserve">   </w:t>
            </w:r>
            <w:r>
              <w:rPr>
                <w:rFonts w:eastAsia="仿宋_GB2312"/>
                <w:color w:val="000000" w:themeColor="text1"/>
                <w:sz w:val="24"/>
                <w14:textFill>
                  <w14:solidFill>
                    <w14:schemeClr w14:val="tx1"/>
                  </w14:solidFill>
                </w14:textFill>
              </w:rPr>
              <w:t>月</w:t>
            </w:r>
            <w:r>
              <w:rPr>
                <w:rFonts w:hint="eastAsia" w:eastAsia="仿宋_GB2312"/>
                <w:color w:val="000000" w:themeColor="text1"/>
                <w:sz w:val="24"/>
                <w14:textFill>
                  <w14:solidFill>
                    <w14:schemeClr w14:val="tx1"/>
                  </w14:solidFill>
                </w14:textFill>
              </w:rPr>
              <w:t xml:space="preserve">   </w:t>
            </w:r>
            <w:r>
              <w:rPr>
                <w:rFonts w:eastAsia="仿宋_GB2312"/>
                <w:color w:val="000000" w:themeColor="text1"/>
                <w:sz w:val="24"/>
                <w14:textFill>
                  <w14:solidFill>
                    <w14:schemeClr w14:val="tx1"/>
                  </w14:solidFill>
                </w14:textFill>
              </w:rPr>
              <w:t>日</w:t>
            </w:r>
          </w:p>
        </w:tc>
      </w:tr>
    </w:tbl>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t>请</w:t>
      </w:r>
      <w:r>
        <w:rPr>
          <w:rFonts w:hint="eastAsia"/>
          <w:color w:val="000000" w:themeColor="text1"/>
          <w14:textFill>
            <w14:solidFill>
              <w14:schemeClr w14:val="tx1"/>
            </w14:solidFill>
          </w14:textFill>
        </w:rPr>
        <w:t>于</w:t>
      </w:r>
      <w:r>
        <w:rPr>
          <w:color w:val="000000" w:themeColor="text1"/>
          <w14:textFill>
            <w14:solidFill>
              <w14:schemeClr w14:val="tx1"/>
            </w14:solidFill>
          </w14:textFill>
        </w:rPr>
        <w:t>2018年</w:t>
      </w:r>
      <w:r>
        <w:rPr>
          <w:rFonts w:hint="eastAsia"/>
          <w:color w:val="000000" w:themeColor="text1"/>
          <w14:textFill>
            <w14:solidFill>
              <w14:schemeClr w14:val="tx1"/>
            </w14:solidFill>
          </w14:textFill>
        </w:rPr>
        <w:t>9</w:t>
      </w:r>
      <w:r>
        <w:rPr>
          <w:color w:val="000000" w:themeColor="text1"/>
          <w14:textFill>
            <w14:solidFill>
              <w14:schemeClr w14:val="tx1"/>
            </w14:solidFill>
          </w14:textFill>
        </w:rPr>
        <w:t>月</w:t>
      </w:r>
      <w:r>
        <w:rPr>
          <w:rFonts w:hint="eastAsia"/>
          <w:color w:val="000000" w:themeColor="text1"/>
          <w14:textFill>
            <w14:solidFill>
              <w14:schemeClr w14:val="tx1"/>
            </w14:solidFill>
          </w14:textFill>
        </w:rPr>
        <w:t>23</w:t>
      </w:r>
      <w:r>
        <w:rPr>
          <w:color w:val="000000" w:themeColor="text1"/>
          <w14:textFill>
            <w14:solidFill>
              <w14:schemeClr w14:val="tx1"/>
            </w14:solidFill>
          </w14:textFill>
        </w:rPr>
        <w:t>日前将此表发电子邮件到：shweike2018@163.com</w:t>
      </w:r>
    </w:p>
    <w:p>
      <w:pPr>
        <w:widowControl/>
        <w:jc w:val="left"/>
        <w:rPr>
          <w:rFonts w:eastAsia="仿宋"/>
          <w:color w:val="000000" w:themeColor="text1"/>
          <w:sz w:val="32"/>
          <w:szCs w:val="32"/>
          <w14:textFill>
            <w14:solidFill>
              <w14:schemeClr w14:val="tx1"/>
            </w14:solidFill>
          </w14:textFill>
        </w:rPr>
        <w:sectPr>
          <w:footerReference r:id="rId3" w:type="default"/>
          <w:footerReference r:id="rId4" w:type="even"/>
          <w:pgSz w:w="11906" w:h="16838"/>
          <w:pgMar w:top="1440" w:right="1800" w:bottom="1440" w:left="1800" w:header="851" w:footer="992" w:gutter="0"/>
          <w:cols w:space="720" w:num="1"/>
          <w:docGrid w:type="lines" w:linePitch="312" w:charSpace="0"/>
        </w:sectPr>
      </w:pPr>
    </w:p>
    <w:p>
      <w:pPr>
        <w:tabs>
          <w:tab w:val="left" w:pos="4320"/>
        </w:tabs>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附件3</w:t>
      </w:r>
    </w:p>
    <w:p>
      <w:pPr>
        <w:autoSpaceDE w:val="0"/>
        <w:autoSpaceDN w:val="0"/>
        <w:adjustRightInd w:val="0"/>
        <w:jc w:val="center"/>
        <w:rPr>
          <w:rFonts w:eastAsia="方正小标宋简体"/>
          <w:b/>
          <w:color w:val="000000" w:themeColor="text1"/>
          <w:kern w:val="0"/>
          <w:sz w:val="32"/>
          <w:szCs w:val="32"/>
          <w14:textFill>
            <w14:solidFill>
              <w14:schemeClr w14:val="tx1"/>
            </w14:solidFill>
          </w14:textFill>
        </w:rPr>
      </w:pPr>
      <w:r>
        <w:rPr>
          <w:rFonts w:hint="eastAsia" w:eastAsia="方正小标宋简体"/>
          <w:b/>
          <w:color w:val="000000" w:themeColor="text1"/>
          <w:kern w:val="0"/>
          <w:sz w:val="32"/>
          <w:szCs w:val="32"/>
          <w14:textFill>
            <w14:solidFill>
              <w14:schemeClr w14:val="tx1"/>
            </w14:solidFill>
          </w14:textFill>
        </w:rPr>
        <w:t>2018年上海市高校理论宣讲微课程</w:t>
      </w:r>
      <w:r>
        <w:rPr>
          <w:rFonts w:eastAsia="方正小标宋简体"/>
          <w:b/>
          <w:color w:val="000000" w:themeColor="text1"/>
          <w:kern w:val="0"/>
          <w:sz w:val="32"/>
          <w:szCs w:val="32"/>
          <w14:textFill>
            <w14:solidFill>
              <w14:schemeClr w14:val="tx1"/>
            </w14:solidFill>
          </w14:textFill>
        </w:rPr>
        <w:t>推荐汇总表</w:t>
      </w:r>
    </w:p>
    <w:p>
      <w:pPr>
        <w:autoSpaceDE w:val="0"/>
        <w:autoSpaceDN w:val="0"/>
        <w:adjustRightInd w:val="0"/>
        <w:jc w:val="center"/>
        <w:rPr>
          <w:rFonts w:eastAsia="方正小标宋简体"/>
          <w:b/>
          <w:color w:val="000000" w:themeColor="text1"/>
          <w:kern w:val="0"/>
          <w:sz w:val="32"/>
          <w:szCs w:val="32"/>
          <w14:textFill>
            <w14:solidFill>
              <w14:schemeClr w14:val="tx1"/>
            </w14:solidFill>
          </w14:textFill>
        </w:rPr>
      </w:pP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报送单位:____________________   联系人：_______________   </w:t>
      </w:r>
      <w:r>
        <w:rPr>
          <w:rFonts w:hint="eastAsia"/>
          <w:color w:val="000000" w:themeColor="text1"/>
          <w:sz w:val="24"/>
          <w14:textFill>
            <w14:solidFill>
              <w14:schemeClr w14:val="tx1"/>
            </w14:solidFill>
          </w14:textFill>
        </w:rPr>
        <w:t>电话</w:t>
      </w:r>
      <w:r>
        <w:rPr>
          <w:color w:val="000000" w:themeColor="text1"/>
          <w:sz w:val="24"/>
          <w14:textFill>
            <w14:solidFill>
              <w14:schemeClr w14:val="tx1"/>
            </w14:solidFill>
          </w14:textFill>
        </w:rPr>
        <w:t xml:space="preserve">：_________________   </w:t>
      </w:r>
      <w:r>
        <w:rPr>
          <w:rFonts w:hint="eastAsia"/>
          <w:color w:val="000000" w:themeColor="text1"/>
          <w:sz w:val="24"/>
          <w14:textFill>
            <w14:solidFill>
              <w14:schemeClr w14:val="tx1"/>
            </w14:solidFill>
          </w14:textFill>
        </w:rPr>
        <w:t>邮箱</w:t>
      </w:r>
      <w:r>
        <w:rPr>
          <w:color w:val="000000" w:themeColor="text1"/>
          <w:sz w:val="24"/>
          <w14:textFill>
            <w14:solidFill>
              <w14:schemeClr w14:val="tx1"/>
            </w14:solidFill>
          </w14:textFill>
        </w:rPr>
        <w:t>：___________</w:t>
      </w:r>
    </w:p>
    <w:p>
      <w:pPr>
        <w:spacing w:line="300" w:lineRule="auto"/>
        <w:rPr>
          <w:color w:val="000000" w:themeColor="text1"/>
          <w:sz w:val="24"/>
          <w14:textFill>
            <w14:solidFill>
              <w14:schemeClr w14:val="tx1"/>
            </w14:solidFill>
          </w14:textFill>
        </w:rPr>
      </w:pPr>
    </w:p>
    <w:tbl>
      <w:tblPr>
        <w:tblStyle w:val="13"/>
        <w:tblW w:w="128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2087"/>
        <w:gridCol w:w="2601"/>
        <w:gridCol w:w="943"/>
        <w:gridCol w:w="1275"/>
        <w:gridCol w:w="1076"/>
        <w:gridCol w:w="1759"/>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3" w:type="dxa"/>
            <w:tcBorders>
              <w:top w:val="single" w:color="auto" w:sz="4" w:space="0"/>
              <w:left w:val="single" w:color="auto" w:sz="4" w:space="0"/>
              <w:bottom w:val="single" w:color="auto" w:sz="4" w:space="0"/>
              <w:right w:val="single" w:color="auto" w:sz="4" w:space="0"/>
            </w:tcBorders>
            <w:vAlign w:val="center"/>
          </w:tcPr>
          <w:p>
            <w:pPr>
              <w:widowControl/>
              <w:jc w:val="center"/>
              <w:rPr>
                <w:b/>
                <w:bCs/>
                <w:color w:val="000000" w:themeColor="text1"/>
                <w:sz w:val="18"/>
                <w:szCs w:val="18"/>
                <w14:textFill>
                  <w14:solidFill>
                    <w14:schemeClr w14:val="tx1"/>
                  </w14:solidFill>
                </w14:textFill>
              </w:rPr>
            </w:pPr>
            <w:r>
              <w:rPr>
                <w:b/>
                <w:bCs/>
                <w:color w:val="000000" w:themeColor="text1"/>
                <w:szCs w:val="21"/>
                <w14:textFill>
                  <w14:solidFill>
                    <w14:schemeClr w14:val="tx1"/>
                  </w14:solidFill>
                </w14:textFill>
              </w:rPr>
              <w:t>序号</w:t>
            </w:r>
          </w:p>
        </w:tc>
        <w:tc>
          <w:tcPr>
            <w:tcW w:w="2087" w:type="dxa"/>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课程系列</w:t>
            </w:r>
          </w:p>
        </w:tc>
        <w:tc>
          <w:tcPr>
            <w:tcW w:w="2601" w:type="dxa"/>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课程名称</w:t>
            </w:r>
          </w:p>
        </w:tc>
        <w:tc>
          <w:tcPr>
            <w:tcW w:w="943" w:type="dxa"/>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姓名</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年级</w:t>
            </w:r>
          </w:p>
        </w:tc>
        <w:tc>
          <w:tcPr>
            <w:tcW w:w="1076" w:type="dxa"/>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专业</w:t>
            </w:r>
          </w:p>
        </w:tc>
        <w:tc>
          <w:tcPr>
            <w:tcW w:w="1759" w:type="dxa"/>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联系方式</w:t>
            </w:r>
          </w:p>
        </w:tc>
        <w:tc>
          <w:tcPr>
            <w:tcW w:w="2120" w:type="dxa"/>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2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w:t>
            </w:r>
          </w:p>
        </w:tc>
        <w:tc>
          <w:tcPr>
            <w:tcW w:w="2087"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2601"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943"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1076"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1759"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2120"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2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2</w:t>
            </w:r>
          </w:p>
        </w:tc>
        <w:tc>
          <w:tcPr>
            <w:tcW w:w="2087"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2601"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943"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1076"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1759"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2120"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2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3</w:t>
            </w:r>
          </w:p>
        </w:tc>
        <w:tc>
          <w:tcPr>
            <w:tcW w:w="2087"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2601"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943"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1076"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1759"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2120"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2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4</w:t>
            </w:r>
          </w:p>
        </w:tc>
        <w:tc>
          <w:tcPr>
            <w:tcW w:w="2087"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2601"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943"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1076"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1759"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2120"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2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5</w:t>
            </w:r>
          </w:p>
        </w:tc>
        <w:tc>
          <w:tcPr>
            <w:tcW w:w="2087"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2601"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943"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1076"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1759"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2120"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2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6</w:t>
            </w:r>
          </w:p>
        </w:tc>
        <w:tc>
          <w:tcPr>
            <w:tcW w:w="2087"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2601"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943"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1076"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1759"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2120"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2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7</w:t>
            </w:r>
          </w:p>
        </w:tc>
        <w:tc>
          <w:tcPr>
            <w:tcW w:w="2087"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2601"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943"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1076"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1759"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2120"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23"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8</w:t>
            </w:r>
          </w:p>
        </w:tc>
        <w:tc>
          <w:tcPr>
            <w:tcW w:w="2087"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2601"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943"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1076"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1759"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2120"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r>
    </w:tbl>
    <w:p>
      <w:pPr>
        <w:spacing w:line="360" w:lineRule="auto"/>
        <w:rPr>
          <w:color w:val="000000" w:themeColor="text1"/>
          <w14:textFill>
            <w14:solidFill>
              <w14:schemeClr w14:val="tx1"/>
            </w14:solidFill>
          </w14:textFill>
        </w:rPr>
      </w:pPr>
    </w:p>
    <w:p>
      <w:pPr>
        <w:tabs>
          <w:tab w:val="left" w:pos="4320"/>
        </w:tabs>
        <w:rPr>
          <w:color w:val="000000" w:themeColor="text1"/>
          <w:sz w:val="32"/>
          <w:szCs w:val="32"/>
          <w14:textFill>
            <w14:solidFill>
              <w14:schemeClr w14:val="tx1"/>
            </w14:solidFill>
          </w14:textFill>
        </w:rPr>
      </w:pPr>
      <w:r>
        <w:rPr>
          <w:rFonts w:hint="eastAsia"/>
          <w:color w:val="000000" w:themeColor="text1"/>
          <w14:textFill>
            <w14:solidFill>
              <w14:schemeClr w14:val="tx1"/>
            </w14:solidFill>
          </w14:textFill>
        </w:rPr>
        <w:t xml:space="preserve">     注：请于2018年9月23日前将此表发电子邮件到：shweike2018@163.com</w:t>
      </w:r>
    </w:p>
    <w:p>
      <w:pPr>
        <w:autoSpaceDE w:val="0"/>
        <w:autoSpaceDN w:val="0"/>
        <w:adjustRightInd w:val="0"/>
        <w:jc w:val="center"/>
        <w:rPr>
          <w:rFonts w:eastAsia="方正小标宋简体"/>
          <w:b/>
          <w:color w:val="000000" w:themeColor="text1"/>
          <w:kern w:val="0"/>
          <w:sz w:val="32"/>
          <w:szCs w:val="32"/>
          <w14:textFill>
            <w14:solidFill>
              <w14:schemeClr w14:val="tx1"/>
            </w14:solidFill>
          </w14:textFill>
        </w:rPr>
      </w:pPr>
    </w:p>
    <w:p>
      <w:pPr>
        <w:tabs>
          <w:tab w:val="left" w:pos="4320"/>
        </w:tabs>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附件4</w:t>
      </w:r>
    </w:p>
    <w:p>
      <w:pPr>
        <w:autoSpaceDE w:val="0"/>
        <w:autoSpaceDN w:val="0"/>
        <w:adjustRightInd w:val="0"/>
        <w:rPr>
          <w:rFonts w:eastAsia="方正小标宋简体"/>
          <w:b/>
          <w:color w:val="000000" w:themeColor="text1"/>
          <w:kern w:val="0"/>
          <w:sz w:val="32"/>
          <w:szCs w:val="32"/>
          <w14:textFill>
            <w14:solidFill>
              <w14:schemeClr w14:val="tx1"/>
            </w14:solidFill>
          </w14:textFill>
        </w:rPr>
      </w:pPr>
    </w:p>
    <w:p>
      <w:pPr>
        <w:autoSpaceDE w:val="0"/>
        <w:autoSpaceDN w:val="0"/>
        <w:adjustRightInd w:val="0"/>
        <w:jc w:val="center"/>
        <w:rPr>
          <w:rFonts w:eastAsia="方正小标宋简体"/>
          <w:b/>
          <w:color w:val="000000" w:themeColor="text1"/>
          <w:kern w:val="0"/>
          <w:sz w:val="32"/>
          <w:szCs w:val="32"/>
          <w14:textFill>
            <w14:solidFill>
              <w14:schemeClr w14:val="tx1"/>
            </w14:solidFill>
          </w14:textFill>
        </w:rPr>
      </w:pPr>
      <w:r>
        <w:rPr>
          <w:rFonts w:hint="eastAsia" w:eastAsia="方正小标宋简体"/>
          <w:b/>
          <w:color w:val="000000" w:themeColor="text1"/>
          <w:kern w:val="0"/>
          <w:sz w:val="32"/>
          <w:szCs w:val="32"/>
          <w14:textFill>
            <w14:solidFill>
              <w14:schemeClr w14:val="tx1"/>
            </w14:solidFill>
          </w14:textFill>
        </w:rPr>
        <w:t>2018年上海市高校理论宣讲微课程评审及专家顾问推荐表</w:t>
      </w:r>
    </w:p>
    <w:p>
      <w:pPr>
        <w:autoSpaceDE w:val="0"/>
        <w:autoSpaceDN w:val="0"/>
        <w:adjustRightInd w:val="0"/>
        <w:jc w:val="center"/>
        <w:rPr>
          <w:rFonts w:eastAsia="方正小标宋简体"/>
          <w:b/>
          <w:color w:val="000000" w:themeColor="text1"/>
          <w:kern w:val="0"/>
          <w:sz w:val="32"/>
          <w:szCs w:val="32"/>
          <w14:textFill>
            <w14:solidFill>
              <w14:schemeClr w14:val="tx1"/>
            </w14:solidFill>
          </w14:textFill>
        </w:rPr>
      </w:pP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报送单位:____________________   联系人：_______________   </w:t>
      </w:r>
      <w:r>
        <w:rPr>
          <w:rFonts w:hint="eastAsia"/>
          <w:color w:val="000000" w:themeColor="text1"/>
          <w:sz w:val="24"/>
          <w14:textFill>
            <w14:solidFill>
              <w14:schemeClr w14:val="tx1"/>
            </w14:solidFill>
          </w14:textFill>
        </w:rPr>
        <w:t>电话</w:t>
      </w:r>
      <w:r>
        <w:rPr>
          <w:color w:val="000000" w:themeColor="text1"/>
          <w:sz w:val="24"/>
          <w14:textFill>
            <w14:solidFill>
              <w14:schemeClr w14:val="tx1"/>
            </w14:solidFill>
          </w14:textFill>
        </w:rPr>
        <w:t xml:space="preserve">：_________________   </w:t>
      </w:r>
      <w:r>
        <w:rPr>
          <w:rFonts w:hint="eastAsia"/>
          <w:color w:val="000000" w:themeColor="text1"/>
          <w:sz w:val="24"/>
          <w14:textFill>
            <w14:solidFill>
              <w14:schemeClr w14:val="tx1"/>
            </w14:solidFill>
          </w14:textFill>
        </w:rPr>
        <w:t>邮箱</w:t>
      </w:r>
      <w:r>
        <w:rPr>
          <w:color w:val="000000" w:themeColor="text1"/>
          <w:sz w:val="24"/>
          <w14:textFill>
            <w14:solidFill>
              <w14:schemeClr w14:val="tx1"/>
            </w14:solidFill>
          </w14:textFill>
        </w:rPr>
        <w:t>：___________</w:t>
      </w:r>
    </w:p>
    <w:p>
      <w:pPr>
        <w:spacing w:line="300" w:lineRule="auto"/>
        <w:rPr>
          <w:color w:val="000000" w:themeColor="text1"/>
          <w:sz w:val="24"/>
          <w14:textFill>
            <w14:solidFill>
              <w14:schemeClr w14:val="tx1"/>
            </w14:solidFill>
          </w14:textFill>
        </w:rPr>
      </w:pPr>
    </w:p>
    <w:tbl>
      <w:tblPr>
        <w:tblStyle w:val="13"/>
        <w:tblW w:w="142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0"/>
        <w:gridCol w:w="1720"/>
        <w:gridCol w:w="2274"/>
        <w:gridCol w:w="2247"/>
        <w:gridCol w:w="2727"/>
        <w:gridCol w:w="3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0" w:type="dxa"/>
            <w:tcBorders>
              <w:top w:val="single" w:color="auto" w:sz="4" w:space="0"/>
              <w:left w:val="single" w:color="auto" w:sz="4" w:space="0"/>
              <w:bottom w:val="single" w:color="auto" w:sz="4" w:space="0"/>
              <w:right w:val="single" w:color="auto" w:sz="4" w:space="0"/>
            </w:tcBorders>
            <w:vAlign w:val="center"/>
          </w:tcPr>
          <w:p>
            <w:pPr>
              <w:widowControl/>
              <w:jc w:val="center"/>
              <w:rPr>
                <w:b/>
                <w:bCs/>
                <w:color w:val="000000" w:themeColor="text1"/>
                <w:sz w:val="18"/>
                <w:szCs w:val="18"/>
                <w14:textFill>
                  <w14:solidFill>
                    <w14:schemeClr w14:val="tx1"/>
                  </w14:solidFill>
                </w14:textFill>
              </w:rPr>
            </w:pPr>
            <w:r>
              <w:rPr>
                <w:rFonts w:hint="eastAsia"/>
                <w:b/>
                <w:bCs/>
                <w:color w:val="000000" w:themeColor="text1"/>
                <w:szCs w:val="21"/>
                <w14:textFill>
                  <w14:solidFill>
                    <w14:schemeClr w14:val="tx1"/>
                  </w14:solidFill>
                </w14:textFill>
              </w:rPr>
              <w:t>身  份</w:t>
            </w:r>
          </w:p>
        </w:tc>
        <w:tc>
          <w:tcPr>
            <w:tcW w:w="1720" w:type="dxa"/>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姓  名</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部  门</w:t>
            </w:r>
          </w:p>
        </w:tc>
        <w:tc>
          <w:tcPr>
            <w:tcW w:w="2247" w:type="dxa"/>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职务</w:t>
            </w:r>
          </w:p>
        </w:tc>
        <w:tc>
          <w:tcPr>
            <w:tcW w:w="2727" w:type="dxa"/>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联系方式</w:t>
            </w:r>
          </w:p>
        </w:tc>
        <w:tc>
          <w:tcPr>
            <w:tcW w:w="3429" w:type="dxa"/>
            <w:tcBorders>
              <w:top w:val="single" w:color="auto" w:sz="4" w:space="0"/>
              <w:left w:val="single" w:color="auto" w:sz="4" w:space="0"/>
              <w:bottom w:val="single" w:color="auto" w:sz="4" w:space="0"/>
              <w:right w:val="single" w:color="auto" w:sz="4" w:space="0"/>
            </w:tcBorders>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40"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评审老师</w:t>
            </w:r>
          </w:p>
        </w:tc>
        <w:tc>
          <w:tcPr>
            <w:tcW w:w="1720"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2274"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2247"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2727"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3429" w:type="dxa"/>
            <w:tcBorders>
              <w:top w:val="single" w:color="auto" w:sz="4" w:space="0"/>
              <w:left w:val="single" w:color="auto" w:sz="4" w:space="0"/>
              <w:bottom w:val="single" w:color="auto" w:sz="4" w:space="0"/>
              <w:right w:val="single" w:color="auto" w:sz="4" w:space="0"/>
            </w:tcBorders>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40"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专家顾问</w:t>
            </w:r>
          </w:p>
        </w:tc>
        <w:tc>
          <w:tcPr>
            <w:tcW w:w="1720"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2274"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2247"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2727" w:type="dxa"/>
            <w:tcBorders>
              <w:top w:val="single" w:color="auto" w:sz="4" w:space="0"/>
              <w:left w:val="single" w:color="auto" w:sz="4" w:space="0"/>
              <w:bottom w:val="single" w:color="auto" w:sz="4" w:space="0"/>
              <w:right w:val="single" w:color="auto" w:sz="4" w:space="0"/>
            </w:tcBorders>
            <w:vAlign w:val="center"/>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c>
          <w:tcPr>
            <w:tcW w:w="3429" w:type="dxa"/>
            <w:tcBorders>
              <w:top w:val="single" w:color="auto" w:sz="4" w:space="0"/>
              <w:left w:val="single" w:color="auto" w:sz="4" w:space="0"/>
              <w:bottom w:val="single" w:color="auto" w:sz="4" w:space="0"/>
              <w:right w:val="single" w:color="auto" w:sz="4" w:space="0"/>
            </w:tcBorders>
          </w:tcPr>
          <w:p>
            <w:pPr>
              <w:keepNext/>
              <w:keepLines/>
              <w:widowControl/>
              <w:wordWrap w:val="0"/>
              <w:spacing w:before="340" w:after="330" w:line="360" w:lineRule="auto"/>
              <w:jc w:val="center"/>
              <w:rPr>
                <w:color w:val="000000" w:themeColor="text1"/>
                <w:kern w:val="0"/>
                <w:szCs w:val="21"/>
                <w14:textFill>
                  <w14:solidFill>
                    <w14:schemeClr w14:val="tx1"/>
                  </w14:solidFill>
                </w14:textFill>
              </w:rPr>
            </w:pPr>
          </w:p>
        </w:tc>
      </w:tr>
    </w:tbl>
    <w:p>
      <w:pPr>
        <w:spacing w:line="360" w:lineRule="auto"/>
        <w:rPr>
          <w:color w:val="000000" w:themeColor="text1"/>
          <w14:textFill>
            <w14:solidFill>
              <w14:schemeClr w14:val="tx1"/>
            </w14:solidFill>
          </w14:textFill>
        </w:rPr>
      </w:pPr>
    </w:p>
    <w:p>
      <w:pPr>
        <w:tabs>
          <w:tab w:val="left" w:pos="4320"/>
        </w:tabs>
        <w:rPr>
          <w:color w:val="000000" w:themeColor="text1"/>
          <w14:textFill>
            <w14:solidFill>
              <w14:schemeClr w14:val="tx1"/>
            </w14:solidFill>
          </w14:textFill>
        </w:rPr>
      </w:pPr>
    </w:p>
    <w:p>
      <w:pPr>
        <w:tabs>
          <w:tab w:val="left" w:pos="4320"/>
        </w:tabs>
        <w:rPr>
          <w:color w:val="000000" w:themeColor="text1"/>
          <w14:textFill>
            <w14:solidFill>
              <w14:schemeClr w14:val="tx1"/>
            </w14:solidFill>
          </w14:textFill>
        </w:rPr>
      </w:pPr>
    </w:p>
    <w:p>
      <w:pPr>
        <w:tabs>
          <w:tab w:val="left" w:pos="4320"/>
        </w:tabs>
        <w:rPr>
          <w:color w:val="000000" w:themeColor="text1"/>
          <w14:textFill>
            <w14:solidFill>
              <w14:schemeClr w14:val="tx1"/>
            </w14:solidFill>
          </w14:textFill>
        </w:rPr>
      </w:pPr>
    </w:p>
    <w:p>
      <w:pPr>
        <w:tabs>
          <w:tab w:val="left" w:pos="4320"/>
        </w:tabs>
        <w:rPr>
          <w:color w:val="000000" w:themeColor="text1"/>
          <w14:textFill>
            <w14:solidFill>
              <w14:schemeClr w14:val="tx1"/>
            </w14:solidFill>
          </w14:textFill>
        </w:rPr>
      </w:pPr>
    </w:p>
    <w:p>
      <w:pPr>
        <w:tabs>
          <w:tab w:val="left" w:pos="4320"/>
        </w:tabs>
        <w:rPr>
          <w:color w:val="000000" w:themeColor="text1"/>
          <w14:textFill>
            <w14:solidFill>
              <w14:schemeClr w14:val="tx1"/>
            </w14:solidFill>
          </w14:textFill>
        </w:rPr>
      </w:pPr>
    </w:p>
    <w:p>
      <w:pPr>
        <w:tabs>
          <w:tab w:val="left" w:pos="4320"/>
        </w:tabs>
        <w:rPr>
          <w:color w:val="000000" w:themeColor="text1"/>
          <w14:textFill>
            <w14:solidFill>
              <w14:schemeClr w14:val="tx1"/>
            </w14:solidFill>
          </w14:textFill>
        </w:rPr>
      </w:pPr>
    </w:p>
    <w:p>
      <w:pPr>
        <w:tabs>
          <w:tab w:val="left" w:pos="4320"/>
        </w:tabs>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6840" w:h="11900" w:orient="landscape"/>
          <w:pgMar w:top="1800" w:right="1440" w:bottom="1800" w:left="1440" w:header="851" w:footer="992" w:gutter="0"/>
          <w:cols w:space="425" w:num="1"/>
          <w:docGrid w:type="lines" w:linePitch="312" w:charSpace="0"/>
        </w:sectPr>
      </w:pPr>
    </w:p>
    <w:p>
      <w:pPr>
        <w:tabs>
          <w:tab w:val="left" w:pos="4320"/>
        </w:tabs>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附件5</w:t>
      </w:r>
    </w:p>
    <w:p>
      <w:pPr>
        <w:widowControl/>
        <w:snapToGrid w:val="0"/>
        <w:spacing w:line="312" w:lineRule="auto"/>
        <w:ind w:firstLine="420"/>
        <w:jc w:val="center"/>
        <w:rPr>
          <w:rFonts w:ascii="宋体" w:hAnsi="宋体"/>
          <w:b/>
          <w:color w:val="000000" w:themeColor="text1"/>
          <w:kern w:val="0"/>
          <w:sz w:val="30"/>
          <w:szCs w:val="30"/>
          <w14:textFill>
            <w14:solidFill>
              <w14:schemeClr w14:val="tx1"/>
            </w14:solidFill>
          </w14:textFill>
        </w:rPr>
      </w:pPr>
      <w:r>
        <w:rPr>
          <w:rFonts w:hint="eastAsia" w:ascii="宋体" w:hAnsi="宋体"/>
          <w:b/>
          <w:color w:val="000000" w:themeColor="text1"/>
          <w:kern w:val="0"/>
          <w:sz w:val="30"/>
          <w:szCs w:val="30"/>
          <w14:textFill>
            <w14:solidFill>
              <w14:schemeClr w14:val="tx1"/>
            </w14:solidFill>
          </w14:textFill>
        </w:rPr>
        <w:t>上海市高校理论宣讲微课程初审评选标准及规则</w:t>
      </w:r>
    </w:p>
    <w:tbl>
      <w:tblPr>
        <w:tblStyle w:val="13"/>
        <w:tblW w:w="8396"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558"/>
        <w:gridCol w:w="783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530" w:hRule="atLeast"/>
          <w:jc w:val="center"/>
        </w:trPr>
        <w:tc>
          <w:tcPr>
            <w:tcW w:w="558" w:type="dxa"/>
            <w:vMerge w:val="restart"/>
            <w:tcBorders>
              <w:top w:val="single" w:color="auto" w:sz="8" w:space="0"/>
              <w:left w:val="single" w:color="auto" w:sz="8" w:space="0"/>
              <w:bottom w:val="single" w:color="auto" w:sz="8" w:space="0"/>
              <w:right w:val="single" w:color="auto" w:sz="8" w:space="0"/>
            </w:tcBorders>
            <w:tcMar>
              <w:top w:w="45" w:type="dxa"/>
              <w:left w:w="45" w:type="dxa"/>
              <w:bottom w:w="45" w:type="dxa"/>
              <w:right w:w="45" w:type="dxa"/>
            </w:tcMar>
            <w:vAlign w:val="center"/>
          </w:tcPr>
          <w:p>
            <w:pPr>
              <w:widowControl/>
              <w:snapToGrid w:val="0"/>
              <w:spacing w:line="312" w:lineRule="auto"/>
              <w:jc w:val="center"/>
              <w:rPr>
                <w:rFonts w:ascii="宋体" w:hAnsi="宋体"/>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作品</w:t>
            </w:r>
          </w:p>
          <w:p>
            <w:pPr>
              <w:widowControl/>
              <w:snapToGrid w:val="0"/>
              <w:spacing w:line="312" w:lineRule="auto"/>
              <w:jc w:val="center"/>
              <w:rPr>
                <w:rFonts w:ascii="宋体" w:hAnsi="宋体"/>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规范</w:t>
            </w:r>
          </w:p>
          <w:p>
            <w:pPr>
              <w:widowControl/>
              <w:snapToGrid w:val="0"/>
              <w:spacing w:line="312" w:lineRule="auto"/>
              <w:jc w:val="center"/>
              <w:rPr>
                <w:rFonts w:ascii="宋体" w:hAnsi="宋体"/>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40分</w:t>
            </w:r>
          </w:p>
        </w:tc>
        <w:tc>
          <w:tcPr>
            <w:tcW w:w="7838" w:type="dxa"/>
            <w:tcBorders>
              <w:top w:val="single" w:color="auto" w:sz="8" w:space="0"/>
              <w:left w:val="nil"/>
              <w:bottom w:val="single" w:color="auto" w:sz="8" w:space="0"/>
              <w:right w:val="single" w:color="auto" w:sz="8" w:space="0"/>
            </w:tcBorders>
            <w:tcMar>
              <w:top w:w="45" w:type="dxa"/>
              <w:left w:w="45" w:type="dxa"/>
              <w:bottom w:w="45" w:type="dxa"/>
              <w:right w:w="45" w:type="dxa"/>
            </w:tcMar>
            <w:vAlign w:val="center"/>
          </w:tcPr>
          <w:p>
            <w:pPr>
              <w:widowControl/>
              <w:snapToGrid w:val="0"/>
              <w:spacing w:line="312" w:lineRule="auto"/>
              <w:jc w:val="left"/>
              <w:rPr>
                <w:rFonts w:ascii="宋体" w:hAnsi="宋体"/>
                <w:bCs/>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一、材料完整（20分）</w:t>
            </w:r>
          </w:p>
          <w:p>
            <w:pPr>
              <w:widowControl/>
              <w:snapToGrid w:val="0"/>
              <w:spacing w:line="312" w:lineRule="auto"/>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包含微课视频，以及在微课录制过程中使用到的全部辅助扩展资料：宣讲方案设计、课件等。</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831" w:hRule="atLeast"/>
          <w:jc w:val="center"/>
        </w:trPr>
        <w:tc>
          <w:tcPr>
            <w:tcW w:w="558" w:type="dxa"/>
            <w:vMerge w:val="continue"/>
            <w:tcBorders>
              <w:top w:val="single" w:color="auto" w:sz="8" w:space="0"/>
              <w:left w:val="single" w:color="auto" w:sz="8" w:space="0"/>
              <w:bottom w:val="single" w:color="auto" w:sz="8" w:space="0"/>
              <w:right w:val="single" w:color="auto" w:sz="8" w:space="0"/>
            </w:tcBorders>
            <w:vAlign w:val="center"/>
          </w:tcPr>
          <w:p>
            <w:pPr>
              <w:widowControl/>
              <w:snapToGrid w:val="0"/>
              <w:spacing w:line="312" w:lineRule="auto"/>
              <w:jc w:val="left"/>
              <w:rPr>
                <w:rFonts w:ascii="宋体" w:hAnsi="宋体"/>
                <w:color w:val="000000" w:themeColor="text1"/>
                <w:kern w:val="0"/>
                <w:sz w:val="24"/>
                <w14:textFill>
                  <w14:solidFill>
                    <w14:schemeClr w14:val="tx1"/>
                  </w14:solidFill>
                </w14:textFill>
              </w:rPr>
            </w:pPr>
          </w:p>
        </w:tc>
        <w:tc>
          <w:tcPr>
            <w:tcW w:w="7838" w:type="dxa"/>
            <w:tcBorders>
              <w:top w:val="nil"/>
              <w:left w:val="nil"/>
              <w:bottom w:val="single" w:color="auto" w:sz="8" w:space="0"/>
              <w:right w:val="single" w:color="auto" w:sz="8" w:space="0"/>
            </w:tcBorders>
            <w:tcMar>
              <w:top w:w="45" w:type="dxa"/>
              <w:left w:w="45" w:type="dxa"/>
              <w:bottom w:w="45" w:type="dxa"/>
              <w:right w:w="45" w:type="dxa"/>
            </w:tcMar>
            <w:vAlign w:val="center"/>
          </w:tcPr>
          <w:p>
            <w:pPr>
              <w:widowControl/>
              <w:snapToGrid w:val="0"/>
              <w:spacing w:line="312" w:lineRule="auto"/>
              <w:jc w:val="left"/>
              <w:rPr>
                <w:rFonts w:ascii="宋体" w:hAnsi="宋体"/>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二、技术规范（20分）</w:t>
            </w:r>
          </w:p>
          <w:p>
            <w:pPr>
              <w:widowControl/>
              <w:snapToGrid w:val="0"/>
              <w:spacing w:line="312"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1.微课视频：时长45分钟；视频图像清晰稳定、构图合理、声音清楚，主要宣讲环节有字幕提示等；视频片头应显示标题、作者、单位。</w:t>
            </w:r>
          </w:p>
          <w:p>
            <w:pPr>
              <w:widowControl/>
              <w:snapToGrid w:val="0"/>
              <w:spacing w:line="312"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2.多媒体宣讲课件：配合视频讲授使用的主要宣讲课件限定为PPT或PPTX格式，需单独文件提交；其他拓展资料符合邮箱上传要求。</w:t>
            </w:r>
          </w:p>
          <w:p>
            <w:pPr>
              <w:widowControl/>
              <w:snapToGrid w:val="0"/>
              <w:spacing w:line="312" w:lineRule="auto"/>
              <w:ind w:firstLine="480"/>
              <w:jc w:val="left"/>
              <w:rPr>
                <w:rFonts w:ascii="宋体" w:hAnsi="宋体"/>
                <w:color w:val="000000" w:themeColor="text1"/>
                <w:kern w:val="0"/>
                <w:sz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679" w:hRule="atLeast"/>
          <w:jc w:val="center"/>
        </w:trPr>
        <w:tc>
          <w:tcPr>
            <w:tcW w:w="558" w:type="dxa"/>
            <w:vMerge w:val="restart"/>
            <w:tcBorders>
              <w:top w:val="single" w:color="auto" w:sz="0" w:space="0"/>
              <w:left w:val="single" w:color="auto" w:sz="8" w:space="0"/>
              <w:bottom w:val="single" w:color="auto" w:sz="8" w:space="0"/>
              <w:right w:val="single" w:color="auto" w:sz="8" w:space="0"/>
            </w:tcBorders>
            <w:tcMar>
              <w:top w:w="45" w:type="dxa"/>
              <w:left w:w="45" w:type="dxa"/>
              <w:bottom w:w="45" w:type="dxa"/>
              <w:right w:w="45" w:type="dxa"/>
            </w:tcMar>
            <w:vAlign w:val="center"/>
          </w:tcPr>
          <w:p>
            <w:pPr>
              <w:widowControl/>
              <w:snapToGrid w:val="0"/>
              <w:spacing w:line="312" w:lineRule="auto"/>
              <w:jc w:val="center"/>
              <w:rPr>
                <w:rFonts w:ascii="宋体" w:hAnsi="宋体"/>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宣讲</w:t>
            </w:r>
          </w:p>
          <w:p>
            <w:pPr>
              <w:widowControl/>
              <w:snapToGrid w:val="0"/>
              <w:spacing w:line="312" w:lineRule="auto"/>
              <w:jc w:val="center"/>
              <w:rPr>
                <w:rFonts w:ascii="宋体" w:hAnsi="宋体"/>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效果</w:t>
            </w:r>
            <w:r>
              <w:rPr>
                <w:rFonts w:hint="eastAsia" w:ascii="宋体" w:hAnsi="宋体"/>
                <w:bCs/>
                <w:color w:val="000000" w:themeColor="text1"/>
                <w:kern w:val="0"/>
                <w:sz w:val="24"/>
                <w14:textFill>
                  <w14:solidFill>
                    <w14:schemeClr w14:val="tx1"/>
                  </w14:solidFill>
                </w14:textFill>
              </w:rPr>
              <w:br w:type="textWrapping"/>
            </w:r>
            <w:r>
              <w:rPr>
                <w:rFonts w:hint="eastAsia" w:ascii="宋体" w:hAnsi="宋体"/>
                <w:bCs/>
                <w:color w:val="000000" w:themeColor="text1"/>
                <w:kern w:val="0"/>
                <w:sz w:val="24"/>
                <w14:textFill>
                  <w14:solidFill>
                    <w14:schemeClr w14:val="tx1"/>
                  </w14:solidFill>
                </w14:textFill>
              </w:rPr>
              <w:t>60分</w:t>
            </w:r>
          </w:p>
        </w:tc>
        <w:tc>
          <w:tcPr>
            <w:tcW w:w="7838" w:type="dxa"/>
            <w:tcBorders>
              <w:top w:val="nil"/>
              <w:left w:val="nil"/>
              <w:bottom w:val="single" w:color="auto" w:sz="8" w:space="0"/>
              <w:right w:val="single" w:color="auto" w:sz="8" w:space="0"/>
            </w:tcBorders>
            <w:tcMar>
              <w:top w:w="45" w:type="dxa"/>
              <w:left w:w="45" w:type="dxa"/>
              <w:bottom w:w="45" w:type="dxa"/>
              <w:right w:w="45" w:type="dxa"/>
            </w:tcMar>
            <w:vAlign w:val="center"/>
          </w:tcPr>
          <w:p>
            <w:pPr>
              <w:widowControl/>
              <w:snapToGrid w:val="0"/>
              <w:spacing w:line="312" w:lineRule="auto"/>
              <w:jc w:val="left"/>
              <w:rPr>
                <w:rFonts w:ascii="宋体" w:hAnsi="宋体"/>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一、宣讲特色(35分)</w:t>
            </w:r>
          </w:p>
          <w:p>
            <w:pPr>
              <w:widowControl/>
              <w:snapToGrid w:val="0"/>
              <w:spacing w:line="312"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宣讲内容严谨充实，无科学性、政策性错误，逻辑严谨，理论科学且联系实际，反映社会和学科发展。</w:t>
            </w:r>
          </w:p>
          <w:p>
            <w:pPr>
              <w:widowControl/>
              <w:snapToGrid w:val="0"/>
              <w:spacing w:line="312"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宣讲形式新颖，宣讲过程深入浅出，形象生动，趣味性和启发性强，宣讲氛围的营造有利于提升听众学习的积极主动性。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2113" w:hRule="atLeast"/>
          <w:jc w:val="center"/>
        </w:trPr>
        <w:tc>
          <w:tcPr>
            <w:tcW w:w="558" w:type="dxa"/>
            <w:vMerge w:val="continue"/>
            <w:tcBorders>
              <w:top w:val="nil"/>
              <w:left w:val="single" w:color="auto" w:sz="8" w:space="0"/>
              <w:bottom w:val="single" w:color="auto" w:sz="8" w:space="0"/>
              <w:right w:val="single" w:color="auto" w:sz="8" w:space="0"/>
            </w:tcBorders>
            <w:vAlign w:val="center"/>
          </w:tcPr>
          <w:p>
            <w:pPr>
              <w:widowControl/>
              <w:snapToGrid w:val="0"/>
              <w:spacing w:line="312" w:lineRule="auto"/>
              <w:jc w:val="left"/>
              <w:rPr>
                <w:rFonts w:ascii="宋体" w:hAnsi="宋体"/>
                <w:color w:val="000000" w:themeColor="text1"/>
                <w:kern w:val="0"/>
                <w:sz w:val="24"/>
                <w14:textFill>
                  <w14:solidFill>
                    <w14:schemeClr w14:val="tx1"/>
                  </w14:solidFill>
                </w14:textFill>
              </w:rPr>
            </w:pPr>
          </w:p>
        </w:tc>
        <w:tc>
          <w:tcPr>
            <w:tcW w:w="7838" w:type="dxa"/>
            <w:tcBorders>
              <w:top w:val="nil"/>
              <w:left w:val="nil"/>
              <w:bottom w:val="single" w:color="auto" w:sz="8" w:space="0"/>
              <w:right w:val="single" w:color="auto" w:sz="8" w:space="0"/>
            </w:tcBorders>
            <w:tcMar>
              <w:top w:w="45" w:type="dxa"/>
              <w:left w:w="45" w:type="dxa"/>
              <w:bottom w:w="45" w:type="dxa"/>
              <w:right w:w="45" w:type="dxa"/>
            </w:tcMar>
            <w:vAlign w:val="center"/>
          </w:tcPr>
          <w:p>
            <w:pPr>
              <w:widowControl/>
              <w:snapToGrid w:val="0"/>
              <w:spacing w:line="312" w:lineRule="auto"/>
              <w:jc w:val="left"/>
              <w:rPr>
                <w:rFonts w:ascii="宋体" w:hAnsi="宋体"/>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二、讲师风采（25分）</w:t>
            </w:r>
          </w:p>
          <w:p>
            <w:pPr>
              <w:widowControl/>
              <w:snapToGrid w:val="0"/>
              <w:spacing w:line="312"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讲师宣讲语言规范、清晰，富有感染力；讲师仪表得当，能展现良好的宣讲风貌和个人魅力。</w:t>
            </w:r>
          </w:p>
        </w:tc>
      </w:tr>
    </w:tbl>
    <w:p>
      <w:pPr>
        <w:widowControl/>
        <w:snapToGrid w:val="0"/>
        <w:spacing w:line="312" w:lineRule="auto"/>
        <w:jc w:val="left"/>
        <w:rPr>
          <w:rFonts w:ascii="宋体" w:hAnsi="宋体"/>
          <w:color w:val="000000" w:themeColor="text1"/>
          <w:sz w:val="24"/>
          <w14:textFill>
            <w14:solidFill>
              <w14:schemeClr w14:val="tx1"/>
            </w14:solidFill>
          </w14:textFill>
        </w:rPr>
      </w:pPr>
    </w:p>
    <w:p>
      <w:pPr>
        <w:widowControl/>
        <w:snapToGrid w:val="0"/>
        <w:spacing w:line="312"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br w:type="page"/>
      </w:r>
    </w:p>
    <w:p>
      <w:pPr>
        <w:tabs>
          <w:tab w:val="left" w:pos="4320"/>
        </w:tabs>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附件6</w:t>
      </w:r>
    </w:p>
    <w:p>
      <w:pPr>
        <w:widowControl/>
        <w:snapToGrid w:val="0"/>
        <w:spacing w:line="312" w:lineRule="auto"/>
        <w:ind w:firstLine="420"/>
        <w:jc w:val="center"/>
        <w:rPr>
          <w:rFonts w:ascii="宋体" w:hAnsi="宋体"/>
          <w:b/>
          <w:color w:val="000000" w:themeColor="text1"/>
          <w:kern w:val="0"/>
          <w:sz w:val="30"/>
          <w:szCs w:val="30"/>
          <w14:textFill>
            <w14:solidFill>
              <w14:schemeClr w14:val="tx1"/>
            </w14:solidFill>
          </w14:textFill>
        </w:rPr>
      </w:pPr>
      <w:r>
        <w:rPr>
          <w:rFonts w:hint="eastAsia" w:ascii="宋体" w:hAnsi="宋体"/>
          <w:b/>
          <w:color w:val="000000" w:themeColor="text1"/>
          <w:kern w:val="0"/>
          <w:sz w:val="30"/>
          <w:szCs w:val="30"/>
          <w14:textFill>
            <w14:solidFill>
              <w14:schemeClr w14:val="tx1"/>
            </w14:solidFill>
          </w14:textFill>
        </w:rPr>
        <w:t>上海市高校研究生微课程现场决赛评审评选标准及规则</w:t>
      </w:r>
    </w:p>
    <w:tbl>
      <w:tblPr>
        <w:tblStyle w:val="13"/>
        <w:tblW w:w="8396"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558"/>
        <w:gridCol w:w="783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459" w:hRule="atLeast"/>
          <w:jc w:val="center"/>
        </w:trPr>
        <w:tc>
          <w:tcPr>
            <w:tcW w:w="558" w:type="dxa"/>
            <w:vMerge w:val="restart"/>
            <w:tcBorders>
              <w:top w:val="single" w:color="auto" w:sz="8" w:space="0"/>
              <w:left w:val="single" w:color="auto" w:sz="8" w:space="0"/>
              <w:bottom w:val="single" w:color="auto" w:sz="8" w:space="0"/>
              <w:right w:val="single" w:color="auto" w:sz="8" w:space="0"/>
            </w:tcBorders>
            <w:tcMar>
              <w:top w:w="45" w:type="dxa"/>
              <w:left w:w="45" w:type="dxa"/>
              <w:bottom w:w="45" w:type="dxa"/>
              <w:right w:w="45" w:type="dxa"/>
            </w:tcMar>
            <w:vAlign w:val="center"/>
          </w:tcPr>
          <w:p>
            <w:pPr>
              <w:widowControl/>
              <w:snapToGrid w:val="0"/>
              <w:spacing w:line="312" w:lineRule="auto"/>
              <w:jc w:val="center"/>
              <w:rPr>
                <w:rFonts w:ascii="宋体" w:hAnsi="宋体"/>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宣讲</w:t>
            </w:r>
          </w:p>
          <w:p>
            <w:pPr>
              <w:widowControl/>
              <w:snapToGrid w:val="0"/>
              <w:spacing w:line="312" w:lineRule="auto"/>
              <w:jc w:val="center"/>
              <w:rPr>
                <w:rFonts w:ascii="宋体" w:hAnsi="宋体"/>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安排</w:t>
            </w:r>
            <w:r>
              <w:rPr>
                <w:rFonts w:hint="eastAsia" w:ascii="宋体" w:hAnsi="宋体"/>
                <w:bCs/>
                <w:color w:val="000000" w:themeColor="text1"/>
                <w:kern w:val="0"/>
                <w:sz w:val="24"/>
                <w14:textFill>
                  <w14:solidFill>
                    <w14:schemeClr w14:val="tx1"/>
                  </w14:solidFill>
                </w14:textFill>
              </w:rPr>
              <w:br w:type="textWrapping"/>
            </w:r>
            <w:r>
              <w:rPr>
                <w:rFonts w:hint="eastAsia" w:ascii="宋体" w:hAnsi="宋体"/>
                <w:bCs/>
                <w:color w:val="000000" w:themeColor="text1"/>
                <w:kern w:val="0"/>
                <w:sz w:val="24"/>
                <w14:textFill>
                  <w14:solidFill>
                    <w14:schemeClr w14:val="tx1"/>
                  </w14:solidFill>
                </w14:textFill>
              </w:rPr>
              <w:t>55分</w:t>
            </w:r>
          </w:p>
        </w:tc>
        <w:tc>
          <w:tcPr>
            <w:tcW w:w="7838" w:type="dxa"/>
            <w:tcBorders>
              <w:top w:val="single" w:color="auto" w:sz="8" w:space="0"/>
              <w:left w:val="single" w:color="auto" w:sz="8" w:space="0"/>
              <w:bottom w:val="single" w:color="auto" w:sz="8" w:space="0"/>
              <w:right w:val="single" w:color="auto" w:sz="8" w:space="0"/>
            </w:tcBorders>
            <w:tcMar>
              <w:top w:w="45" w:type="dxa"/>
              <w:left w:w="45" w:type="dxa"/>
              <w:bottom w:w="45" w:type="dxa"/>
              <w:right w:w="45" w:type="dxa"/>
            </w:tcMar>
            <w:vAlign w:val="center"/>
          </w:tcPr>
          <w:p>
            <w:pPr>
              <w:widowControl/>
              <w:snapToGrid w:val="0"/>
              <w:spacing w:line="312" w:lineRule="auto"/>
              <w:jc w:val="left"/>
              <w:rPr>
                <w:rFonts w:ascii="宋体" w:hAnsi="宋体"/>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一、选题价值（25分）</w:t>
            </w:r>
          </w:p>
          <w:p>
            <w:pPr>
              <w:widowControl/>
              <w:snapToGrid w:val="0"/>
              <w:spacing w:line="312"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选取宣讲环节中某一知识点、专题作为选题，针对宣讲中的常见、典型、有代表性的问题或内容进行设计，类型包括但不限于：科普类、授课类、答疑类等。选题具备独立性、完整性、示范性、代表性，能够有效解决生活学习过程中的重点、难点问题。</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985" w:hRule="atLeast"/>
          <w:jc w:val="center"/>
        </w:trPr>
        <w:tc>
          <w:tcPr>
            <w:tcW w:w="558" w:type="dxa"/>
            <w:vMerge w:val="continue"/>
            <w:tcBorders>
              <w:top w:val="single" w:color="auto" w:sz="8" w:space="0"/>
              <w:left w:val="single" w:color="auto" w:sz="8" w:space="0"/>
              <w:bottom w:val="single" w:color="auto" w:sz="8" w:space="0"/>
              <w:right w:val="single" w:color="auto" w:sz="8" w:space="0"/>
            </w:tcBorders>
            <w:vAlign w:val="center"/>
          </w:tcPr>
          <w:p>
            <w:pPr>
              <w:widowControl/>
              <w:snapToGrid w:val="0"/>
              <w:spacing w:line="312" w:lineRule="auto"/>
              <w:jc w:val="left"/>
              <w:rPr>
                <w:rFonts w:ascii="宋体" w:hAnsi="宋体"/>
                <w:color w:val="000000" w:themeColor="text1"/>
                <w:kern w:val="0"/>
                <w:sz w:val="24"/>
                <w14:textFill>
                  <w14:solidFill>
                    <w14:schemeClr w14:val="tx1"/>
                  </w14:solidFill>
                </w14:textFill>
              </w:rPr>
            </w:pPr>
          </w:p>
        </w:tc>
        <w:tc>
          <w:tcPr>
            <w:tcW w:w="7838" w:type="dxa"/>
            <w:tcBorders>
              <w:top w:val="single" w:color="auto" w:sz="8" w:space="0"/>
              <w:left w:val="nil"/>
              <w:bottom w:val="single" w:color="auto" w:sz="8" w:space="0"/>
              <w:right w:val="single" w:color="auto" w:sz="8" w:space="0"/>
            </w:tcBorders>
            <w:tcMar>
              <w:top w:w="45" w:type="dxa"/>
              <w:left w:w="45" w:type="dxa"/>
              <w:bottom w:w="45" w:type="dxa"/>
              <w:right w:w="45" w:type="dxa"/>
            </w:tcMar>
            <w:vAlign w:val="center"/>
          </w:tcPr>
          <w:p>
            <w:pPr>
              <w:widowControl/>
              <w:snapToGrid w:val="0"/>
              <w:spacing w:line="312" w:lineRule="auto"/>
              <w:jc w:val="left"/>
              <w:rPr>
                <w:rFonts w:ascii="宋体" w:hAnsi="宋体"/>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二、宣讲设计与组织（25分）</w:t>
            </w:r>
          </w:p>
          <w:p>
            <w:pPr>
              <w:widowControl/>
              <w:snapToGrid w:val="0"/>
              <w:spacing w:line="312"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 宣讲方案：围绕选题设计，突出重点，注重实效；宣讲目的明确，宣讲思路清晰，注重听众全面发展。</w:t>
            </w:r>
          </w:p>
          <w:p>
            <w:pPr>
              <w:widowControl/>
              <w:snapToGrid w:val="0"/>
              <w:spacing w:line="312"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 宣讲内容：严谨充实，无科学性、政策性错误，能理论联系实际，反映社会和学科发展。</w:t>
            </w:r>
          </w:p>
          <w:p>
            <w:pPr>
              <w:widowControl/>
              <w:snapToGrid w:val="0"/>
              <w:spacing w:line="312"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3. 宣讲组织与编排：要符合听众的认知规律；宣讲过程主线清晰、重点突出，逻辑性强，明了易懂；注重突出听众的主体性。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58" w:type="dxa"/>
            <w:vMerge w:val="continue"/>
            <w:tcBorders>
              <w:top w:val="nil"/>
              <w:left w:val="single" w:color="auto" w:sz="8" w:space="0"/>
              <w:bottom w:val="single" w:color="auto" w:sz="8" w:space="0"/>
              <w:right w:val="single" w:color="auto" w:sz="8" w:space="0"/>
            </w:tcBorders>
            <w:vAlign w:val="center"/>
          </w:tcPr>
          <w:p>
            <w:pPr>
              <w:widowControl/>
              <w:snapToGrid w:val="0"/>
              <w:spacing w:line="312" w:lineRule="auto"/>
              <w:jc w:val="left"/>
              <w:rPr>
                <w:rFonts w:ascii="宋体" w:hAnsi="宋体"/>
                <w:color w:val="000000" w:themeColor="text1"/>
                <w:kern w:val="0"/>
                <w:sz w:val="24"/>
                <w14:textFill>
                  <w14:solidFill>
                    <w14:schemeClr w14:val="tx1"/>
                  </w14:solidFill>
                </w14:textFill>
              </w:rPr>
            </w:pPr>
          </w:p>
        </w:tc>
        <w:tc>
          <w:tcPr>
            <w:tcW w:w="7838" w:type="dxa"/>
            <w:tcBorders>
              <w:top w:val="nil"/>
              <w:left w:val="nil"/>
              <w:bottom w:val="single" w:color="auto" w:sz="8" w:space="0"/>
              <w:right w:val="single" w:color="auto" w:sz="8" w:space="0"/>
            </w:tcBorders>
            <w:tcMar>
              <w:top w:w="45" w:type="dxa"/>
              <w:left w:w="45" w:type="dxa"/>
              <w:bottom w:w="45" w:type="dxa"/>
              <w:right w:w="45" w:type="dxa"/>
            </w:tcMar>
            <w:vAlign w:val="center"/>
          </w:tcPr>
          <w:p>
            <w:pPr>
              <w:widowControl/>
              <w:snapToGrid w:val="0"/>
              <w:spacing w:line="312" w:lineRule="auto"/>
              <w:jc w:val="left"/>
              <w:rPr>
                <w:rFonts w:ascii="宋体" w:hAnsi="宋体"/>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三、宣讲方法与手段（5分）</w:t>
            </w:r>
          </w:p>
          <w:p>
            <w:pPr>
              <w:widowControl/>
              <w:snapToGrid w:val="0"/>
              <w:spacing w:line="312"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宣讲策略选择正确，注重调动听众的学习积极性和创造性思维能力；能根据宣讲需求选用灵活适当的宣讲方法；信息技术手段运用合理，正确选择使用各种宣讲媒体，宣讲辅助效果好。</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558" w:type="dxa"/>
            <w:vMerge w:val="restart"/>
            <w:tcBorders>
              <w:top w:val="single" w:color="auto" w:sz="0" w:space="0"/>
              <w:left w:val="single" w:color="auto" w:sz="8" w:space="0"/>
              <w:bottom w:val="single" w:color="auto" w:sz="8" w:space="0"/>
              <w:right w:val="single" w:color="auto" w:sz="8" w:space="0"/>
            </w:tcBorders>
            <w:tcMar>
              <w:top w:w="45" w:type="dxa"/>
              <w:left w:w="45" w:type="dxa"/>
              <w:bottom w:w="45" w:type="dxa"/>
              <w:right w:w="45" w:type="dxa"/>
            </w:tcMar>
            <w:vAlign w:val="center"/>
          </w:tcPr>
          <w:p>
            <w:pPr>
              <w:widowControl/>
              <w:snapToGrid w:val="0"/>
              <w:spacing w:line="312" w:lineRule="auto"/>
              <w:jc w:val="center"/>
              <w:rPr>
                <w:rFonts w:ascii="宋体" w:hAnsi="宋体"/>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宣讲</w:t>
            </w:r>
          </w:p>
          <w:p>
            <w:pPr>
              <w:widowControl/>
              <w:snapToGrid w:val="0"/>
              <w:spacing w:line="312" w:lineRule="auto"/>
              <w:jc w:val="center"/>
              <w:rPr>
                <w:rFonts w:ascii="宋体" w:hAnsi="宋体"/>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效果</w:t>
            </w:r>
            <w:r>
              <w:rPr>
                <w:rFonts w:hint="eastAsia" w:ascii="宋体" w:hAnsi="宋体"/>
                <w:bCs/>
                <w:color w:val="000000" w:themeColor="text1"/>
                <w:kern w:val="0"/>
                <w:sz w:val="24"/>
                <w14:textFill>
                  <w14:solidFill>
                    <w14:schemeClr w14:val="tx1"/>
                  </w14:solidFill>
                </w14:textFill>
              </w:rPr>
              <w:br w:type="textWrapping"/>
            </w:r>
            <w:r>
              <w:rPr>
                <w:rFonts w:hint="eastAsia" w:ascii="宋体" w:hAnsi="宋体"/>
                <w:bCs/>
                <w:color w:val="000000" w:themeColor="text1"/>
                <w:kern w:val="0"/>
                <w:sz w:val="24"/>
                <w14:textFill>
                  <w14:solidFill>
                    <w14:schemeClr w14:val="tx1"/>
                  </w14:solidFill>
                </w14:textFill>
              </w:rPr>
              <w:t>45分</w:t>
            </w:r>
          </w:p>
        </w:tc>
        <w:tc>
          <w:tcPr>
            <w:tcW w:w="7838" w:type="dxa"/>
            <w:tcBorders>
              <w:top w:val="single" w:color="auto" w:sz="0" w:space="0"/>
              <w:left w:val="single" w:color="auto" w:sz="0" w:space="0"/>
              <w:bottom w:val="outset" w:color="auto" w:sz="6" w:space="0"/>
              <w:right w:val="single" w:color="auto" w:sz="8" w:space="0"/>
            </w:tcBorders>
            <w:tcMar>
              <w:top w:w="45" w:type="dxa"/>
              <w:left w:w="45" w:type="dxa"/>
              <w:bottom w:w="45" w:type="dxa"/>
              <w:right w:w="45" w:type="dxa"/>
            </w:tcMar>
            <w:vAlign w:val="center"/>
          </w:tcPr>
          <w:p>
            <w:pPr>
              <w:widowControl/>
              <w:snapToGrid w:val="0"/>
              <w:spacing w:line="312" w:lineRule="auto"/>
              <w:jc w:val="left"/>
              <w:rPr>
                <w:rFonts w:ascii="宋体" w:hAnsi="宋体"/>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 xml:space="preserve">一、目标达成(15分) </w:t>
            </w:r>
          </w:p>
          <w:p>
            <w:pPr>
              <w:widowControl/>
              <w:snapToGrid w:val="0"/>
              <w:spacing w:line="312"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紧扣宣讲主题，有效解决实际宣讲问题，能促进听众思维能力提高。</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558" w:type="dxa"/>
            <w:vMerge w:val="continue"/>
            <w:tcBorders>
              <w:top w:val="nil"/>
              <w:left w:val="single" w:color="auto" w:sz="8" w:space="0"/>
              <w:bottom w:val="single" w:color="auto" w:sz="8" w:space="0"/>
              <w:right w:val="single" w:color="auto" w:sz="8" w:space="0"/>
            </w:tcBorders>
            <w:vAlign w:val="center"/>
          </w:tcPr>
          <w:p>
            <w:pPr>
              <w:widowControl/>
              <w:snapToGrid w:val="0"/>
              <w:spacing w:line="312" w:lineRule="auto"/>
              <w:jc w:val="left"/>
              <w:rPr>
                <w:rFonts w:ascii="宋体" w:hAnsi="宋体"/>
                <w:color w:val="000000" w:themeColor="text1"/>
                <w:kern w:val="0"/>
                <w:sz w:val="24"/>
                <w14:textFill>
                  <w14:solidFill>
                    <w14:schemeClr w14:val="tx1"/>
                  </w14:solidFill>
                </w14:textFill>
              </w:rPr>
            </w:pPr>
          </w:p>
        </w:tc>
        <w:tc>
          <w:tcPr>
            <w:tcW w:w="7838" w:type="dxa"/>
            <w:tcBorders>
              <w:top w:val="nil"/>
              <w:left w:val="nil"/>
              <w:bottom w:val="single" w:color="auto" w:sz="8" w:space="0"/>
              <w:right w:val="single" w:color="auto" w:sz="8" w:space="0"/>
            </w:tcBorders>
            <w:tcMar>
              <w:top w:w="45" w:type="dxa"/>
              <w:left w:w="45" w:type="dxa"/>
              <w:bottom w:w="45" w:type="dxa"/>
              <w:right w:w="45" w:type="dxa"/>
            </w:tcMar>
            <w:vAlign w:val="center"/>
          </w:tcPr>
          <w:p>
            <w:pPr>
              <w:widowControl/>
              <w:snapToGrid w:val="0"/>
              <w:spacing w:line="312" w:lineRule="auto"/>
              <w:jc w:val="left"/>
              <w:rPr>
                <w:rFonts w:ascii="宋体" w:hAnsi="宋体"/>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二、宣讲特色(15分)</w:t>
            </w:r>
          </w:p>
          <w:p>
            <w:pPr>
              <w:widowControl/>
              <w:snapToGrid w:val="0"/>
              <w:spacing w:line="312"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宣讲形式新颖，宣讲过程深入浅出，形象生动，趣味性和启发性强，宣讲氛围的营造有利于提升听众学习的积极主动性。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748" w:hRule="atLeast"/>
          <w:jc w:val="center"/>
        </w:trPr>
        <w:tc>
          <w:tcPr>
            <w:tcW w:w="558" w:type="dxa"/>
            <w:vMerge w:val="continue"/>
            <w:tcBorders>
              <w:top w:val="nil"/>
              <w:left w:val="single" w:color="auto" w:sz="8" w:space="0"/>
              <w:bottom w:val="single" w:color="auto" w:sz="8" w:space="0"/>
              <w:right w:val="single" w:color="auto" w:sz="8" w:space="0"/>
            </w:tcBorders>
            <w:vAlign w:val="center"/>
          </w:tcPr>
          <w:p>
            <w:pPr>
              <w:widowControl/>
              <w:snapToGrid w:val="0"/>
              <w:spacing w:line="312" w:lineRule="auto"/>
              <w:jc w:val="left"/>
              <w:rPr>
                <w:rFonts w:ascii="宋体" w:hAnsi="宋体"/>
                <w:color w:val="000000" w:themeColor="text1"/>
                <w:kern w:val="0"/>
                <w:sz w:val="24"/>
                <w14:textFill>
                  <w14:solidFill>
                    <w14:schemeClr w14:val="tx1"/>
                  </w14:solidFill>
                </w14:textFill>
              </w:rPr>
            </w:pPr>
          </w:p>
        </w:tc>
        <w:tc>
          <w:tcPr>
            <w:tcW w:w="7838" w:type="dxa"/>
            <w:tcBorders>
              <w:top w:val="nil"/>
              <w:left w:val="nil"/>
              <w:bottom w:val="single" w:color="auto" w:sz="8" w:space="0"/>
              <w:right w:val="single" w:color="auto" w:sz="8" w:space="0"/>
            </w:tcBorders>
            <w:tcMar>
              <w:top w:w="45" w:type="dxa"/>
              <w:left w:w="45" w:type="dxa"/>
              <w:bottom w:w="45" w:type="dxa"/>
              <w:right w:w="45" w:type="dxa"/>
            </w:tcMar>
            <w:vAlign w:val="center"/>
          </w:tcPr>
          <w:p>
            <w:pPr>
              <w:widowControl/>
              <w:snapToGrid w:val="0"/>
              <w:spacing w:line="312" w:lineRule="auto"/>
              <w:jc w:val="left"/>
              <w:rPr>
                <w:rFonts w:ascii="宋体" w:hAnsi="宋体"/>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三、讲师风采（15分）</w:t>
            </w:r>
          </w:p>
          <w:p>
            <w:pPr>
              <w:widowControl/>
              <w:snapToGrid w:val="0"/>
              <w:spacing w:line="312"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讲师宣讲语言规范、清晰，富有感染力；讲师仪表得当，能展现良好的宣讲风貌和个人魅力。</w:t>
            </w:r>
          </w:p>
        </w:tc>
      </w:tr>
    </w:tbl>
    <w:p>
      <w:pPr>
        <w:rPr>
          <w:rFonts w:eastAsia="黑体"/>
          <w:color w:val="000000" w:themeColor="text1"/>
          <w:sz w:val="32"/>
          <w:szCs w:val="32"/>
          <w14:textFill>
            <w14:solidFill>
              <w14:schemeClr w14:val="tx1"/>
            </w14:solidFill>
          </w14:textFill>
        </w:rPr>
      </w:pPr>
    </w:p>
    <w:p>
      <w:pPr>
        <w:widowControl/>
        <w:spacing w:line="520" w:lineRule="exact"/>
        <w:jc w:val="left"/>
        <w:rPr>
          <w:rFonts w:eastAsia="黑体"/>
          <w:color w:val="000000" w:themeColor="text1"/>
          <w:sz w:val="32"/>
          <w:szCs w:val="32"/>
          <w14:textFill>
            <w14:solidFill>
              <w14:schemeClr w14:val="tx1"/>
            </w14:solidFill>
          </w14:textFill>
        </w:rPr>
      </w:pPr>
    </w:p>
    <w:sectPr>
      <w:headerReference r:id="rId13" w:type="first"/>
      <w:footerReference r:id="rId16" w:type="first"/>
      <w:headerReference r:id="rId11" w:type="default"/>
      <w:footerReference r:id="rId14" w:type="default"/>
      <w:headerReference r:id="rId12" w:type="even"/>
      <w:footerReference r:id="rId1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FangSong_GB2312">
    <w:altName w:val="仿宋_GB2312"/>
    <w:panose1 w:val="02010609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20" w:lineRule="exact"/>
      <w:ind w:right="357" w:firstLine="35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984885" cy="2368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984885"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left="420" w:leftChars="200" w:right="420" w:rightChars="200"/>
                            <w:rPr>
                              <w:rStyle w:val="10"/>
                              <w:rFonts w:ascii="宋体" w:hAnsi="宋体"/>
                              <w:sz w:val="28"/>
                              <w:szCs w:val="28"/>
                            </w:rPr>
                          </w:pPr>
                          <w:r>
                            <w:rPr>
                              <w:rStyle w:val="10"/>
                              <w:rFonts w:hint="eastAsia" w:ascii="宋体" w:hAnsi="宋体"/>
                              <w:sz w:val="28"/>
                              <w:szCs w:val="28"/>
                            </w:rPr>
                            <w:t>—</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1</w:t>
                          </w:r>
                          <w:r>
                            <w:rPr>
                              <w:rStyle w:val="10"/>
                              <w:rFonts w:ascii="宋体" w:hAnsi="宋体"/>
                              <w:sz w:val="28"/>
                              <w:szCs w:val="28"/>
                            </w:rPr>
                            <w:fldChar w:fldCharType="end"/>
                          </w:r>
                          <w:r>
                            <w:rPr>
                              <w:rStyle w:val="10"/>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65pt;width:77.55pt;mso-position-horizontal:center;mso-position-horizontal-relative:margin;mso-wrap-style:none;z-index:251658240;mso-width-relative:page;mso-height-relative:page;" filled="f" stroked="f" coordsize="21600,21600" o:gfxdata="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mjek3SAAAABAEAAA8AAAAAAAAAAQAg&#10;AAAAIgAAAGRycy9kb3ducmV2LnhtbFBLAQIUABQAAAAIAIdO4kBqApmKFAIAAAUEAAAOAAAAAAAA&#10;AAEAIAAAACEBAABkcnMvZTJvRG9jLnhtbFBLBQYAAAAABgAGAFkBAACnBQAAAAA=&#10;">
              <v:fill on="f" focussize="0,0"/>
              <v:stroke on="f" weight="0.5pt"/>
              <v:imagedata o:title=""/>
              <o:lock v:ext="edit" aspectratio="f"/>
              <v:textbox inset="0mm,0mm,0mm,0mm" style="mso-fit-shape-to-text:t;">
                <w:txbxContent>
                  <w:p>
                    <w:pPr>
                      <w:pStyle w:val="7"/>
                      <w:ind w:left="420" w:leftChars="200" w:right="420" w:rightChars="200"/>
                      <w:rPr>
                        <w:rStyle w:val="10"/>
                        <w:rFonts w:ascii="宋体" w:hAnsi="宋体"/>
                        <w:sz w:val="28"/>
                        <w:szCs w:val="28"/>
                      </w:rPr>
                    </w:pPr>
                    <w:r>
                      <w:rPr>
                        <w:rStyle w:val="10"/>
                        <w:rFonts w:hint="eastAsia" w:ascii="宋体" w:hAnsi="宋体"/>
                        <w:sz w:val="28"/>
                        <w:szCs w:val="28"/>
                      </w:rPr>
                      <w:t>—</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1</w:t>
                    </w:r>
                    <w:r>
                      <w:rPr>
                        <w:rStyle w:val="10"/>
                        <w:rFonts w:ascii="宋体" w:hAnsi="宋体"/>
                        <w:sz w:val="28"/>
                        <w:szCs w:val="28"/>
                      </w:rPr>
                      <w:fldChar w:fldCharType="end"/>
                    </w:r>
                    <w:r>
                      <w:rPr>
                        <w:rStyle w:val="10"/>
                        <w:rFonts w:hint="eastAsia" w:ascii="宋体" w:hAnsi="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66800" cy="2368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66800"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left="420" w:leftChars="200" w:right="420" w:rightChars="200"/>
                            <w:rPr>
                              <w:rStyle w:val="10"/>
                              <w:sz w:val="28"/>
                              <w:szCs w:val="28"/>
                            </w:rPr>
                          </w:pPr>
                          <w:r>
                            <w:rPr>
                              <w:rStyle w:val="10"/>
                              <w:rFonts w:hint="eastAsia"/>
                              <w:sz w:val="28"/>
                              <w:szCs w:val="28"/>
                            </w:rPr>
                            <w:t>—</w:t>
                          </w: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11</w:t>
                          </w:r>
                          <w:r>
                            <w:rPr>
                              <w:rStyle w:val="10"/>
                              <w:sz w:val="28"/>
                              <w:szCs w:val="28"/>
                            </w:rPr>
                            <w:fldChar w:fldCharType="end"/>
                          </w:r>
                          <w:r>
                            <w:rPr>
                              <w:rStyle w:val="10"/>
                              <w:rFonts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65pt;width:84pt;mso-position-horizontal:center;mso-position-horizontal-relative:margin;mso-wrap-style:none;z-index:251659264;mso-width-relative:page;mso-height-relative:page;" filled="f" stroked="f" coordsize="21600,21600" o:gfxdata="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lMjOM0gAAAAQBAAAPAAAAAAAAAAEAIAAA&#10;ACIAAABkcnMvZG93bnJldi54bWxQSwECFAAUAAAACACHTuJAH+XeZBICAAAGBAAADgAAAAAAAAAB&#10;ACAAAAAhAQAAZHJzL2Uyb0RvYy54bWxQSwUGAAAAAAYABgBZAQAApQUAAAAA&#10;">
              <v:fill on="f" focussize="0,0"/>
              <v:stroke on="f" weight="0.5pt"/>
              <v:imagedata o:title=""/>
              <o:lock v:ext="edit" aspectratio="f"/>
              <v:textbox inset="0mm,0mm,0mm,0mm" style="mso-fit-shape-to-text:t;">
                <w:txbxContent>
                  <w:p>
                    <w:pPr>
                      <w:pStyle w:val="7"/>
                      <w:ind w:left="420" w:leftChars="200" w:right="420" w:rightChars="200"/>
                      <w:rPr>
                        <w:rStyle w:val="10"/>
                        <w:sz w:val="28"/>
                        <w:szCs w:val="28"/>
                      </w:rPr>
                    </w:pPr>
                    <w:r>
                      <w:rPr>
                        <w:rStyle w:val="10"/>
                        <w:rFonts w:hint="eastAsia"/>
                        <w:sz w:val="28"/>
                        <w:szCs w:val="28"/>
                      </w:rPr>
                      <w:t>—</w:t>
                    </w: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11</w:t>
                    </w:r>
                    <w:r>
                      <w:rPr>
                        <w:rStyle w:val="10"/>
                        <w:sz w:val="28"/>
                        <w:szCs w:val="28"/>
                      </w:rPr>
                      <w:fldChar w:fldCharType="end"/>
                    </w:r>
                    <w:r>
                      <w:rPr>
                        <w:rStyle w:val="10"/>
                        <w:rFonts w:hint="eastAsia"/>
                        <w:sz w:val="28"/>
                        <w:szCs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7"/>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073785" cy="2368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073785"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left="420" w:leftChars="200" w:right="420" w:rightChars="200"/>
                            <w:rPr>
                              <w:rStyle w:val="10"/>
                              <w:sz w:val="28"/>
                              <w:szCs w:val="28"/>
                            </w:rPr>
                          </w:pPr>
                          <w:r>
                            <w:rPr>
                              <w:rStyle w:val="10"/>
                              <w:rFonts w:hint="eastAsia"/>
                              <w:sz w:val="28"/>
                              <w:szCs w:val="28"/>
                            </w:rPr>
                            <w:t>—</w:t>
                          </w: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13</w:t>
                          </w:r>
                          <w:r>
                            <w:rPr>
                              <w:rStyle w:val="10"/>
                              <w:sz w:val="28"/>
                              <w:szCs w:val="28"/>
                            </w:rPr>
                            <w:fldChar w:fldCharType="end"/>
                          </w:r>
                          <w:r>
                            <w:rPr>
                              <w:rStyle w:val="10"/>
                              <w:rFonts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65pt;width:84.55pt;mso-position-horizontal:center;mso-position-horizontal-relative:margin;mso-wrap-style:none;z-index:251660288;mso-width-relative:page;mso-height-relative:page;" filled="f" stroked="f" coordsize="21600,21600" o:gfxdata="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51Arj0gAAAAQBAAAPAAAAAAAAAAEA&#10;IAAAACIAAABkcnMvZG93bnJldi54bWxQSwECFAAUAAAACACHTuJAJjq1rxUCAAAGBAAADgAAAAAA&#10;AAABACAAAAAhAQAAZHJzL2Uyb0RvYy54bWxQSwUGAAAAAAYABgBZAQAAqAUAAAAA&#10;">
              <v:fill on="f" focussize="0,0"/>
              <v:stroke on="f" weight="0.5pt"/>
              <v:imagedata o:title=""/>
              <o:lock v:ext="edit" aspectratio="f"/>
              <v:textbox inset="0mm,0mm,0mm,0mm" style="mso-fit-shape-to-text:t;">
                <w:txbxContent>
                  <w:p>
                    <w:pPr>
                      <w:pStyle w:val="7"/>
                      <w:ind w:left="420" w:leftChars="200" w:right="420" w:rightChars="200"/>
                      <w:rPr>
                        <w:rStyle w:val="10"/>
                        <w:sz w:val="28"/>
                        <w:szCs w:val="28"/>
                      </w:rPr>
                    </w:pPr>
                    <w:r>
                      <w:rPr>
                        <w:rStyle w:val="10"/>
                        <w:rFonts w:hint="eastAsia"/>
                        <w:sz w:val="28"/>
                        <w:szCs w:val="28"/>
                      </w:rPr>
                      <w:t>—</w:t>
                    </w: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13</w:t>
                    </w:r>
                    <w:r>
                      <w:rPr>
                        <w:rStyle w:val="10"/>
                        <w:sz w:val="28"/>
                        <w:szCs w:val="28"/>
                      </w:rPr>
                      <w:fldChar w:fldCharType="end"/>
                    </w:r>
                    <w:r>
                      <w:rPr>
                        <w:rStyle w:val="10"/>
                        <w:rFonts w:hint="eastAsia"/>
                        <w:sz w:val="28"/>
                        <w:szCs w:val="28"/>
                      </w:rP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7"/>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F5"/>
    <w:rsid w:val="000243BB"/>
    <w:rsid w:val="000332D0"/>
    <w:rsid w:val="00042009"/>
    <w:rsid w:val="00056782"/>
    <w:rsid w:val="0007209C"/>
    <w:rsid w:val="000B5ECA"/>
    <w:rsid w:val="000E7AF4"/>
    <w:rsid w:val="00167197"/>
    <w:rsid w:val="001A3F43"/>
    <w:rsid w:val="001C4735"/>
    <w:rsid w:val="001D4FC4"/>
    <w:rsid w:val="001E0350"/>
    <w:rsid w:val="001F70D9"/>
    <w:rsid w:val="00212062"/>
    <w:rsid w:val="00220F5E"/>
    <w:rsid w:val="00230824"/>
    <w:rsid w:val="00235748"/>
    <w:rsid w:val="002461A1"/>
    <w:rsid w:val="002612CE"/>
    <w:rsid w:val="0026758C"/>
    <w:rsid w:val="00286A44"/>
    <w:rsid w:val="00291011"/>
    <w:rsid w:val="002A3553"/>
    <w:rsid w:val="002A7275"/>
    <w:rsid w:val="002D6E9F"/>
    <w:rsid w:val="002E4697"/>
    <w:rsid w:val="002F659A"/>
    <w:rsid w:val="0030648F"/>
    <w:rsid w:val="0031291E"/>
    <w:rsid w:val="00322B49"/>
    <w:rsid w:val="00325B20"/>
    <w:rsid w:val="00334EF9"/>
    <w:rsid w:val="0033680C"/>
    <w:rsid w:val="00340D68"/>
    <w:rsid w:val="00342FE6"/>
    <w:rsid w:val="003513C3"/>
    <w:rsid w:val="00353EF1"/>
    <w:rsid w:val="00356CAB"/>
    <w:rsid w:val="003673E1"/>
    <w:rsid w:val="003852F8"/>
    <w:rsid w:val="003A1124"/>
    <w:rsid w:val="003A3D05"/>
    <w:rsid w:val="003A4449"/>
    <w:rsid w:val="003B3D16"/>
    <w:rsid w:val="004155E3"/>
    <w:rsid w:val="00423453"/>
    <w:rsid w:val="00425171"/>
    <w:rsid w:val="00430294"/>
    <w:rsid w:val="004315F1"/>
    <w:rsid w:val="00435045"/>
    <w:rsid w:val="00455F47"/>
    <w:rsid w:val="00492C08"/>
    <w:rsid w:val="004C1DAB"/>
    <w:rsid w:val="004C3B89"/>
    <w:rsid w:val="004C4DCE"/>
    <w:rsid w:val="004E5CEB"/>
    <w:rsid w:val="005009B0"/>
    <w:rsid w:val="00521E3C"/>
    <w:rsid w:val="00523288"/>
    <w:rsid w:val="00533C3B"/>
    <w:rsid w:val="00546691"/>
    <w:rsid w:val="00550ABE"/>
    <w:rsid w:val="00570A14"/>
    <w:rsid w:val="00574071"/>
    <w:rsid w:val="00582D4D"/>
    <w:rsid w:val="00587594"/>
    <w:rsid w:val="005A6647"/>
    <w:rsid w:val="005B0F70"/>
    <w:rsid w:val="005D139F"/>
    <w:rsid w:val="005D1B82"/>
    <w:rsid w:val="005D5059"/>
    <w:rsid w:val="0060193E"/>
    <w:rsid w:val="006214EF"/>
    <w:rsid w:val="006453E1"/>
    <w:rsid w:val="00651CBA"/>
    <w:rsid w:val="006625C5"/>
    <w:rsid w:val="00670ADD"/>
    <w:rsid w:val="0067187B"/>
    <w:rsid w:val="00686B04"/>
    <w:rsid w:val="006A2303"/>
    <w:rsid w:val="006B7A64"/>
    <w:rsid w:val="006C550F"/>
    <w:rsid w:val="006D6C60"/>
    <w:rsid w:val="006E6D01"/>
    <w:rsid w:val="006F06B1"/>
    <w:rsid w:val="006F29DB"/>
    <w:rsid w:val="006F32C7"/>
    <w:rsid w:val="007335D2"/>
    <w:rsid w:val="00734559"/>
    <w:rsid w:val="00737F9B"/>
    <w:rsid w:val="00754B45"/>
    <w:rsid w:val="00760118"/>
    <w:rsid w:val="00765301"/>
    <w:rsid w:val="007A12D4"/>
    <w:rsid w:val="00807AA8"/>
    <w:rsid w:val="00814E14"/>
    <w:rsid w:val="00820A9D"/>
    <w:rsid w:val="008260FC"/>
    <w:rsid w:val="008658A7"/>
    <w:rsid w:val="00875EC1"/>
    <w:rsid w:val="00887029"/>
    <w:rsid w:val="00895799"/>
    <w:rsid w:val="008A7164"/>
    <w:rsid w:val="008B48F5"/>
    <w:rsid w:val="009001EE"/>
    <w:rsid w:val="00900D79"/>
    <w:rsid w:val="009026BC"/>
    <w:rsid w:val="00912157"/>
    <w:rsid w:val="009416F0"/>
    <w:rsid w:val="009471A6"/>
    <w:rsid w:val="009D7201"/>
    <w:rsid w:val="009E03A5"/>
    <w:rsid w:val="009F7889"/>
    <w:rsid w:val="00A2125E"/>
    <w:rsid w:val="00A41A1A"/>
    <w:rsid w:val="00A52623"/>
    <w:rsid w:val="00A615E1"/>
    <w:rsid w:val="00A82DC0"/>
    <w:rsid w:val="00A93FED"/>
    <w:rsid w:val="00A97FAE"/>
    <w:rsid w:val="00AA420A"/>
    <w:rsid w:val="00AA63EE"/>
    <w:rsid w:val="00AB07FD"/>
    <w:rsid w:val="00AD3C1A"/>
    <w:rsid w:val="00AD3FFC"/>
    <w:rsid w:val="00AF6AEC"/>
    <w:rsid w:val="00B10401"/>
    <w:rsid w:val="00B22014"/>
    <w:rsid w:val="00B269AB"/>
    <w:rsid w:val="00B32CDC"/>
    <w:rsid w:val="00B34791"/>
    <w:rsid w:val="00B60ED7"/>
    <w:rsid w:val="00BB2B7C"/>
    <w:rsid w:val="00BD2976"/>
    <w:rsid w:val="00C35FAA"/>
    <w:rsid w:val="00C4523D"/>
    <w:rsid w:val="00C51C2A"/>
    <w:rsid w:val="00C64E3D"/>
    <w:rsid w:val="00C75812"/>
    <w:rsid w:val="00C77DA4"/>
    <w:rsid w:val="00C8476B"/>
    <w:rsid w:val="00C87A2D"/>
    <w:rsid w:val="00C95D6C"/>
    <w:rsid w:val="00C9620E"/>
    <w:rsid w:val="00CB0040"/>
    <w:rsid w:val="00CC6B03"/>
    <w:rsid w:val="00CD18EC"/>
    <w:rsid w:val="00CE1B42"/>
    <w:rsid w:val="00CE2C6E"/>
    <w:rsid w:val="00D04596"/>
    <w:rsid w:val="00D12288"/>
    <w:rsid w:val="00D55981"/>
    <w:rsid w:val="00D74884"/>
    <w:rsid w:val="00D77965"/>
    <w:rsid w:val="00DB7917"/>
    <w:rsid w:val="00DD33D2"/>
    <w:rsid w:val="00DF0A1C"/>
    <w:rsid w:val="00DF1369"/>
    <w:rsid w:val="00E109CE"/>
    <w:rsid w:val="00E165C5"/>
    <w:rsid w:val="00E2468E"/>
    <w:rsid w:val="00E31189"/>
    <w:rsid w:val="00E551AD"/>
    <w:rsid w:val="00E84CDC"/>
    <w:rsid w:val="00E92F49"/>
    <w:rsid w:val="00EA012B"/>
    <w:rsid w:val="00EB23D9"/>
    <w:rsid w:val="00EC4B49"/>
    <w:rsid w:val="00ED0D21"/>
    <w:rsid w:val="00ED59B4"/>
    <w:rsid w:val="00ED6EAD"/>
    <w:rsid w:val="00EE1296"/>
    <w:rsid w:val="00F05E9B"/>
    <w:rsid w:val="00F31323"/>
    <w:rsid w:val="00F34D1F"/>
    <w:rsid w:val="00F43CAB"/>
    <w:rsid w:val="00F47911"/>
    <w:rsid w:val="00F50073"/>
    <w:rsid w:val="00F64A49"/>
    <w:rsid w:val="00F65FB5"/>
    <w:rsid w:val="00F76F78"/>
    <w:rsid w:val="00FA59A9"/>
    <w:rsid w:val="00FD58FF"/>
    <w:rsid w:val="00FF17A1"/>
    <w:rsid w:val="03662663"/>
    <w:rsid w:val="126B2755"/>
    <w:rsid w:val="23900CAF"/>
    <w:rsid w:val="249F5C19"/>
    <w:rsid w:val="272916D2"/>
    <w:rsid w:val="337209B3"/>
    <w:rsid w:val="42747097"/>
    <w:rsid w:val="4B687A84"/>
    <w:rsid w:val="4CCD5FCF"/>
    <w:rsid w:val="4E7D62ED"/>
    <w:rsid w:val="531C2B6A"/>
    <w:rsid w:val="6F244A14"/>
    <w:rsid w:val="705373B1"/>
    <w:rsid w:val="751703BE"/>
    <w:rsid w:val="7DF866D5"/>
    <w:rsid w:val="7DFC1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semiHidden/>
    <w:unhideWhenUsed/>
    <w:qFormat/>
    <w:uiPriority w:val="9"/>
    <w:pPr>
      <w:spacing w:beforeAutospacing="1" w:afterAutospacing="1"/>
      <w:jc w:val="left"/>
      <w:outlineLvl w:val="2"/>
    </w:pPr>
    <w:rPr>
      <w:rFonts w:hint="eastAsia" w:ascii="宋体" w:hAnsi="宋体"/>
      <w:b/>
      <w:kern w:val="0"/>
      <w:sz w:val="27"/>
      <w:szCs w:val="27"/>
    </w:rPr>
  </w:style>
  <w:style w:type="character" w:default="1" w:styleId="9">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18"/>
    <w:semiHidden/>
    <w:unhideWhenUsed/>
    <w:qFormat/>
    <w:uiPriority w:val="99"/>
    <w:rPr>
      <w:b/>
      <w:bCs/>
    </w:rPr>
  </w:style>
  <w:style w:type="paragraph" w:styleId="4">
    <w:name w:val="annotation text"/>
    <w:basedOn w:val="1"/>
    <w:link w:val="17"/>
    <w:semiHidden/>
    <w:unhideWhenUsed/>
    <w:qFormat/>
    <w:uiPriority w:val="99"/>
    <w:pPr>
      <w:jc w:val="left"/>
    </w:pPr>
  </w:style>
  <w:style w:type="paragraph" w:styleId="5">
    <w:name w:val="Date"/>
    <w:basedOn w:val="1"/>
    <w:next w:val="1"/>
    <w:link w:val="16"/>
    <w:semiHidden/>
    <w:unhideWhenUsed/>
    <w:qFormat/>
    <w:uiPriority w:val="99"/>
    <w:pPr>
      <w:ind w:left="100" w:leftChars="2500"/>
    </w:pPr>
  </w:style>
  <w:style w:type="paragraph" w:styleId="6">
    <w:name w:val="Balloon Text"/>
    <w:basedOn w:val="1"/>
    <w:link w:val="19"/>
    <w:semiHidden/>
    <w:unhideWhenUsed/>
    <w:qFormat/>
    <w:uiPriority w:val="99"/>
    <w:rPr>
      <w:sz w:val="18"/>
      <w:szCs w:val="18"/>
    </w:rPr>
  </w:style>
  <w:style w:type="paragraph" w:styleId="7">
    <w:name w:val="footer"/>
    <w:basedOn w:val="1"/>
    <w:link w:val="15"/>
    <w:qFormat/>
    <w:uiPriority w:val="0"/>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styleId="11">
    <w:name w:val="Hyperlink"/>
    <w:basedOn w:val="9"/>
    <w:semiHidden/>
    <w:unhideWhenUsed/>
    <w:qFormat/>
    <w:uiPriority w:val="99"/>
    <w:rPr>
      <w:color w:val="0000FF"/>
      <w:u w:val="single"/>
    </w:rPr>
  </w:style>
  <w:style w:type="character" w:styleId="12">
    <w:name w:val="annotation reference"/>
    <w:basedOn w:val="9"/>
    <w:semiHidden/>
    <w:unhideWhenUsed/>
    <w:qFormat/>
    <w:uiPriority w:val="99"/>
    <w:rPr>
      <w:sz w:val="21"/>
      <w:szCs w:val="21"/>
    </w:rPr>
  </w:style>
  <w:style w:type="character" w:customStyle="1" w:styleId="14">
    <w:name w:val="页眉字符"/>
    <w:basedOn w:val="9"/>
    <w:link w:val="8"/>
    <w:qFormat/>
    <w:uiPriority w:val="0"/>
    <w:rPr>
      <w:rFonts w:ascii="Times New Roman" w:hAnsi="Times New Roman" w:eastAsia="宋体" w:cs="Times New Roman"/>
      <w:sz w:val="18"/>
      <w:szCs w:val="18"/>
    </w:rPr>
  </w:style>
  <w:style w:type="character" w:customStyle="1" w:styleId="15">
    <w:name w:val="页脚字符"/>
    <w:basedOn w:val="9"/>
    <w:link w:val="7"/>
    <w:qFormat/>
    <w:uiPriority w:val="0"/>
    <w:rPr>
      <w:rFonts w:ascii="Times New Roman" w:hAnsi="Times New Roman" w:eastAsia="宋体" w:cs="Times New Roman"/>
      <w:sz w:val="18"/>
      <w:szCs w:val="18"/>
    </w:rPr>
  </w:style>
  <w:style w:type="character" w:customStyle="1" w:styleId="16">
    <w:name w:val="日期字符"/>
    <w:basedOn w:val="9"/>
    <w:link w:val="5"/>
    <w:semiHidden/>
    <w:qFormat/>
    <w:uiPriority w:val="99"/>
    <w:rPr>
      <w:rFonts w:ascii="Times New Roman" w:hAnsi="Times New Roman" w:eastAsia="宋体" w:cs="Times New Roman"/>
      <w:szCs w:val="24"/>
    </w:rPr>
  </w:style>
  <w:style w:type="character" w:customStyle="1" w:styleId="17">
    <w:name w:val="批注文字字符"/>
    <w:basedOn w:val="9"/>
    <w:link w:val="4"/>
    <w:semiHidden/>
    <w:qFormat/>
    <w:uiPriority w:val="99"/>
    <w:rPr>
      <w:rFonts w:ascii="Times New Roman" w:hAnsi="Times New Roman" w:eastAsia="宋体" w:cs="Times New Roman"/>
      <w:szCs w:val="24"/>
    </w:rPr>
  </w:style>
  <w:style w:type="character" w:customStyle="1" w:styleId="18">
    <w:name w:val="批注主题字符"/>
    <w:basedOn w:val="17"/>
    <w:link w:val="3"/>
    <w:semiHidden/>
    <w:qFormat/>
    <w:uiPriority w:val="99"/>
    <w:rPr>
      <w:rFonts w:ascii="Times New Roman" w:hAnsi="Times New Roman" w:eastAsia="宋体" w:cs="Times New Roman"/>
      <w:b/>
      <w:bCs/>
      <w:szCs w:val="24"/>
    </w:rPr>
  </w:style>
  <w:style w:type="character" w:customStyle="1" w:styleId="19">
    <w:name w:val="批注框文本字符"/>
    <w:basedOn w:val="9"/>
    <w:link w:val="6"/>
    <w:semiHidden/>
    <w:qFormat/>
    <w:uiPriority w:val="99"/>
    <w:rPr>
      <w:rFonts w:ascii="Times New Roman" w:hAnsi="Times New Roman" w:eastAsia="宋体" w:cs="Times New Roman"/>
      <w:sz w:val="18"/>
      <w:szCs w:val="18"/>
    </w:rPr>
  </w:style>
  <w:style w:type="paragraph" w:customStyle="1" w:styleId="20">
    <w:name w:val="普通(Web)3"/>
    <w:basedOn w:val="1"/>
    <w:qFormat/>
    <w:uiPriority w:val="0"/>
    <w:pPr>
      <w:widowControl/>
      <w:spacing w:before="100" w:beforeAutospacing="1" w:after="100" w:afterAutospacing="1" w:line="270" w:lineRule="atLeast"/>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标题排序"/>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577F00-A891-4E41-91CA-9C509EC126B5}">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759</Words>
  <Characters>4331</Characters>
  <Lines>36</Lines>
  <Paragraphs>10</Paragraphs>
  <TotalTime>89</TotalTime>
  <ScaleCrop>false</ScaleCrop>
  <LinksUpToDate>false</LinksUpToDate>
  <CharactersWithSpaces>5080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2018-08-21T16:23:00Z</dcterms:created>
  <dc:creator>lenovo</dc:creator>
  <cp:lastModifiedBy>喵小喵</cp:lastModifiedBy>
  <dcterms:modified xsi:type="dcterms:W3CDTF">2018-08-28T08:12:12Z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