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napToGrid w:val="0"/>
        <w:spacing w:line="560" w:lineRule="exact"/>
        <w:jc w:val="center"/>
        <w:rPr>
          <w:rFonts w:ascii="华文中宋" w:hAnsi="华文中宋" w:eastAsia="华文中宋"/>
          <w:b/>
          <w:sz w:val="32"/>
          <w:szCs w:val="32"/>
        </w:rPr>
      </w:pPr>
      <w:r>
        <w:rPr>
          <w:rFonts w:ascii="华文中宋" w:hAnsi="华文中宋" w:eastAsia="华文中宋"/>
          <w:b/>
          <w:sz w:val="32"/>
          <w:szCs w:val="32"/>
        </w:rPr>
        <w:t>关于申报中国—上海合作组织国际司法交流合作培训基地</w:t>
      </w:r>
    </w:p>
    <w:p>
      <w:pPr>
        <w:wordWrap w:val="0"/>
        <w:snapToGrid w:val="0"/>
        <w:spacing w:line="560" w:lineRule="exact"/>
        <w:jc w:val="center"/>
        <w:rPr>
          <w:rFonts w:ascii="华文中宋" w:hAnsi="华文中宋" w:eastAsia="华文中宋"/>
          <w:b/>
          <w:sz w:val="32"/>
          <w:szCs w:val="32"/>
        </w:rPr>
      </w:pPr>
      <w:r>
        <w:rPr>
          <w:rFonts w:hint="eastAsia" w:ascii="华文中宋" w:hAnsi="华文中宋" w:eastAsia="华文中宋"/>
          <w:b/>
          <w:sz w:val="32"/>
          <w:szCs w:val="32"/>
          <w:lang w:val="en-US" w:eastAsia="zh-CN"/>
        </w:rPr>
        <w:t>（2018-2020）年度</w:t>
      </w:r>
      <w:r>
        <w:rPr>
          <w:rFonts w:ascii="华文中宋" w:hAnsi="华文中宋" w:eastAsia="华文中宋"/>
          <w:b/>
          <w:sz w:val="32"/>
          <w:szCs w:val="32"/>
        </w:rPr>
        <w:t>案例教学专题课项目的</w:t>
      </w:r>
      <w:r>
        <w:rPr>
          <w:rFonts w:hint="eastAsia" w:ascii="华文中宋" w:hAnsi="华文中宋" w:eastAsia="华文中宋"/>
          <w:b/>
          <w:sz w:val="32"/>
          <w:szCs w:val="32"/>
          <w:lang w:eastAsia="zh-CN"/>
        </w:rPr>
        <w:t>预</w:t>
      </w:r>
      <w:r>
        <w:rPr>
          <w:rFonts w:ascii="华文中宋" w:hAnsi="华文中宋" w:eastAsia="华文中宋"/>
          <w:b/>
          <w:sz w:val="32"/>
          <w:szCs w:val="32"/>
        </w:rPr>
        <w:t>通知</w:t>
      </w:r>
    </w:p>
    <w:p>
      <w:pPr>
        <w:snapToGrid w:val="0"/>
        <w:spacing w:line="360" w:lineRule="auto"/>
        <w:rPr>
          <w:rFonts w:ascii="仿宋" w:hAnsi="仿宋" w:eastAsia="仿宋"/>
          <w:b/>
          <w:sz w:val="36"/>
          <w:szCs w:val="36"/>
        </w:rPr>
      </w:pPr>
    </w:p>
    <w:p>
      <w:pPr>
        <w:keepNext w:val="0"/>
        <w:keepLines w:val="0"/>
        <w:pageBreakBefore w:val="0"/>
        <w:widowControl/>
        <w:kinsoku/>
        <w:overflowPunct/>
        <w:topLinePunct w:val="0"/>
        <w:autoSpaceDE/>
        <w:autoSpaceDN/>
        <w:bidi w:val="0"/>
        <w:adjustRightInd/>
        <w:snapToGrid w:val="0"/>
        <w:spacing w:line="560" w:lineRule="exact"/>
        <w:textAlignment w:val="auto"/>
        <w:rPr>
          <w:rFonts w:ascii="仿宋_GB2312" w:hAnsi="仿宋_GB2312" w:eastAsia="仿宋_GB2312"/>
          <w:sz w:val="28"/>
          <w:szCs w:val="28"/>
        </w:rPr>
      </w:pPr>
      <w:r>
        <w:rPr>
          <w:rFonts w:ascii="仿宋_GB2312" w:hAnsi="仿宋_GB2312" w:eastAsia="仿宋_GB2312"/>
          <w:sz w:val="28"/>
          <w:szCs w:val="28"/>
        </w:rPr>
        <w:t>各相关单位、人员</w:t>
      </w:r>
    </w:p>
    <w:p>
      <w:pPr>
        <w:keepNext w:val="0"/>
        <w:keepLines w:val="0"/>
        <w:pageBreakBefore w:val="0"/>
        <w:widowControl/>
        <w:kinsoku/>
        <w:overflowPunct/>
        <w:topLinePunct w:val="0"/>
        <w:autoSpaceDE/>
        <w:autoSpaceDN/>
        <w:bidi w:val="0"/>
        <w:adjustRightInd/>
        <w:snapToGrid w:val="0"/>
        <w:spacing w:line="560" w:lineRule="exact"/>
        <w:textAlignment w:val="auto"/>
        <w:rPr>
          <w:rFonts w:ascii="仿宋_GB2312" w:hAnsi="仿宋_GB2312" w:eastAsia="仿宋_GB2312"/>
          <w:sz w:val="28"/>
          <w:szCs w:val="28"/>
        </w:rPr>
      </w:pPr>
      <w:r>
        <w:rPr>
          <w:rFonts w:ascii="仿宋_GB2312" w:hAnsi="仿宋_GB2312" w:eastAsia="仿宋_GB2312"/>
          <w:sz w:val="28"/>
          <w:szCs w:val="28"/>
        </w:rPr>
        <w:t>各高校、机构及科研院所：</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2013年9月，习近平主席在上合组织比什凯克峰会上宣布“中方将设立中国-上海合作组织国际司法交流合作培训基地，愿意利用这一平台为上合组织培养司法人才”。此后在2014年杜尚别峰会和2015年乌法峰会上，又两次重申中国-上海合作组织国际司法交流合作培训基地（以下简称“</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”）的职能。2017年7月，</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正式建成并投入使用。</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2018年6月10日，习近平主席在上合峰会大范围会谈的致辞中特别指出：“未来3年，中方愿利用中国-上海合作组织国际司法交流合作</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等平台，为各方培训2000名执法人员，强化执法能力建设。”</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ascii="仿宋_GB2312" w:hAnsi="仿宋_GB2312" w:eastAsia="仿宋_GB2312"/>
          <w:sz w:val="28"/>
          <w:szCs w:val="28"/>
        </w:rPr>
        <w:t>为切实落实习总书记的重要指示，提升</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自身核心竞争力，更好地完成中央各部委交办的培训任务，更好地发挥</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“培训、论坛、智库”三大职能，201</w:t>
      </w:r>
      <w:r>
        <w:rPr>
          <w:rFonts w:hint="eastAsia" w:ascii="仿宋_GB2312" w:hAnsi="仿宋_GB2312" w:eastAsia="仿宋_GB2312"/>
          <w:sz w:val="28"/>
          <w:szCs w:val="28"/>
          <w:lang w:val="en-US" w:eastAsia="zh-CN"/>
        </w:rPr>
        <w:t>9</w:t>
      </w:r>
      <w:r>
        <w:rPr>
          <w:rFonts w:ascii="仿宋_GB2312" w:hAnsi="仿宋_GB2312" w:eastAsia="仿宋_GB2312"/>
          <w:sz w:val="28"/>
          <w:szCs w:val="28"/>
        </w:rPr>
        <w:t>年</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将逐步打造一系列精品案例教学专题课。具体事项通知如下:</w:t>
      </w:r>
    </w:p>
    <w:p>
      <w:pPr>
        <w:keepNext w:val="0"/>
        <w:keepLines w:val="0"/>
        <w:pageBreakBefore w:val="0"/>
        <w:widowControl/>
        <w:kinsoku/>
        <w:overflowPunct/>
        <w:topLinePunct w:val="0"/>
        <w:autoSpaceDE/>
        <w:autoSpaceDN/>
        <w:bidi w:val="0"/>
        <w:adjustRightInd/>
        <w:snapToGrid w:val="0"/>
        <w:spacing w:line="560" w:lineRule="exact"/>
        <w:textAlignment w:val="auto"/>
        <w:rPr>
          <w:rFonts w:ascii="仿宋" w:hAnsi="仿宋" w:eastAsia="仿宋"/>
          <w:b/>
          <w:sz w:val="30"/>
          <w:szCs w:val="30"/>
        </w:rPr>
      </w:pPr>
      <w:r>
        <w:rPr>
          <w:rFonts w:ascii="仿宋" w:hAnsi="仿宋" w:eastAsia="仿宋"/>
          <w:b/>
          <w:sz w:val="30"/>
          <w:szCs w:val="30"/>
        </w:rPr>
        <w:t xml:space="preserve">    一、项目概况</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案例教学专题课时长120分钟，内容围绕单个或数个典型案例展开，内容紧靠警务相关训工作，贴近实战，强调受训学员的参与性、互动性。申报人可从项目参考课题（详见附件1-1）中任选或自立课题进行申报，每个项目将提供1万元建设经费，周期为1年。</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 w:hAnsi="仿宋" w:eastAsia="仿宋"/>
          <w:b/>
          <w:sz w:val="30"/>
          <w:szCs w:val="30"/>
        </w:rPr>
      </w:pPr>
      <w:r>
        <w:rPr>
          <w:rFonts w:ascii="仿宋" w:hAnsi="仿宋" w:eastAsia="仿宋"/>
          <w:b/>
          <w:sz w:val="30"/>
          <w:szCs w:val="30"/>
        </w:rPr>
        <w:t>二、申报要求</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（一）具有完全民事行为能力的自然人或具有独立法人资格的有关学会、高校、研究机构，需联合实务部门组建教学团队；</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（二）申报内容符合本项目的申报要求，项目不可重复申报；</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（三）具备实施所申报内容的理论基础与实践经验；</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（四）具备教学经验的申报单位或个人将予以优先考虑。</w:t>
      </w:r>
    </w:p>
    <w:p>
      <w:pPr>
        <w:keepNext w:val="0"/>
        <w:keepLines w:val="0"/>
        <w:pageBreakBefore w:val="0"/>
        <w:widowControl/>
        <w:kinsoku/>
        <w:overflowPunct/>
        <w:topLinePunct w:val="0"/>
        <w:autoSpaceDE/>
        <w:autoSpaceDN/>
        <w:bidi w:val="0"/>
        <w:adjustRightInd/>
        <w:snapToGrid w:val="0"/>
        <w:spacing w:line="560" w:lineRule="exact"/>
        <w:textAlignment w:val="auto"/>
        <w:rPr>
          <w:rFonts w:ascii="仿宋" w:hAnsi="仿宋" w:eastAsia="仿宋"/>
          <w:b/>
          <w:sz w:val="30"/>
          <w:szCs w:val="30"/>
        </w:rPr>
      </w:pPr>
      <w:r>
        <w:rPr>
          <w:rFonts w:ascii="仿宋" w:hAnsi="仿宋" w:eastAsia="仿宋"/>
          <w:b/>
          <w:sz w:val="30"/>
          <w:szCs w:val="30"/>
        </w:rPr>
        <w:t xml:space="preserve"> </w:t>
      </w:r>
      <w:r>
        <w:rPr>
          <w:rFonts w:ascii="仿宋" w:hAnsi="仿宋" w:eastAsia="仿宋"/>
          <w:b/>
          <w:sz w:val="30"/>
          <w:szCs w:val="30"/>
        </w:rPr>
        <w:tab/>
      </w:r>
      <w:r>
        <w:rPr>
          <w:rFonts w:ascii="仿宋" w:hAnsi="仿宋" w:eastAsia="仿宋"/>
          <w:b/>
          <w:sz w:val="30"/>
          <w:szCs w:val="30"/>
        </w:rPr>
        <w:t xml:space="preserve"> 三、申报流程</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（一）申报单位或个人在规定期间内向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提交项目申报表；</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汇总申报项目并组织专家对项目内容进行审查；</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（三）对于通过评审的项目将进行网络公示，公示期为1周。</w:t>
      </w:r>
    </w:p>
    <w:p>
      <w:pPr>
        <w:keepNext w:val="0"/>
        <w:keepLines w:val="0"/>
        <w:pageBreakBefore w:val="0"/>
        <w:widowControl/>
        <w:kinsoku/>
        <w:overflowPunct/>
        <w:topLinePunct w:val="0"/>
        <w:autoSpaceDE/>
        <w:autoSpaceDN/>
        <w:bidi w:val="0"/>
        <w:adjustRightInd/>
        <w:snapToGrid w:val="0"/>
        <w:spacing w:line="560" w:lineRule="exact"/>
        <w:ind w:firstLine="420"/>
        <w:textAlignment w:val="auto"/>
        <w:rPr>
          <w:rFonts w:ascii="仿宋" w:hAnsi="仿宋" w:eastAsia="仿宋"/>
          <w:b/>
          <w:sz w:val="30"/>
          <w:szCs w:val="30"/>
        </w:rPr>
      </w:pPr>
      <w:r>
        <w:rPr>
          <w:rFonts w:ascii="仿宋" w:hAnsi="仿宋" w:eastAsia="仿宋"/>
          <w:b/>
          <w:sz w:val="30"/>
          <w:szCs w:val="30"/>
        </w:rPr>
        <w:t xml:space="preserve"> 四、结项要求</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结项时项目负责人需提交：</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（一）一份不少于3000字教学大纲，内容应包含课程基本情况、教学目的及要求，课程具体内容及实施方法；</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（二）一份不少于2000字的分析报告，内容围绕同类型课程在国内外其他院校、培训机构的开设情况、实际教学效果、学员反馈等方面展开，重点突出本申报课程的特色、优势；</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（三）录制一份5分钟左右的教学短视频；</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（四）提供120分钟课程的完整ppt；</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（五）协助</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开展相关培训课程。</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 w:hAnsi="仿宋" w:eastAsia="仿宋"/>
          <w:b/>
          <w:sz w:val="30"/>
          <w:szCs w:val="30"/>
        </w:rPr>
      </w:pPr>
      <w:r>
        <w:rPr>
          <w:rFonts w:ascii="仿宋" w:hAnsi="仿宋" w:eastAsia="仿宋"/>
          <w:b/>
          <w:sz w:val="30"/>
          <w:szCs w:val="30"/>
        </w:rPr>
        <w:t>五、申报及评审时间</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hint="eastAsia" w:ascii="仿宋_GB2312" w:hAnsi="仿宋_GB2312" w:eastAsia="仿宋_GB2312"/>
          <w:sz w:val="28"/>
          <w:szCs w:val="28"/>
          <w:lang w:val="en-US" w:eastAsia="zh-CN"/>
        </w:rPr>
        <w:t>项目发布</w:t>
      </w:r>
      <w:r>
        <w:rPr>
          <w:rFonts w:ascii="仿宋_GB2312" w:hAnsi="仿宋_GB2312" w:eastAsia="仿宋_GB2312"/>
          <w:sz w:val="28"/>
          <w:szCs w:val="28"/>
        </w:rPr>
        <w:t>即日起至</w:t>
      </w:r>
      <w:r>
        <w:rPr>
          <w:rFonts w:hint="eastAsia" w:ascii="仿宋_GB2312" w:hAnsi="仿宋_GB2312" w:eastAsia="仿宋_GB2312"/>
          <w:sz w:val="28"/>
          <w:szCs w:val="28"/>
          <w:lang w:val="en-US" w:eastAsia="zh-CN"/>
        </w:rPr>
        <w:t>8</w:t>
      </w:r>
      <w:r>
        <w:rPr>
          <w:rFonts w:ascii="仿宋_GB2312" w:hAnsi="仿宋_GB2312" w:eastAsia="仿宋_GB2312"/>
          <w:sz w:val="28"/>
          <w:szCs w:val="28"/>
        </w:rPr>
        <w:t>月</w:t>
      </w:r>
      <w:r>
        <w:rPr>
          <w:rFonts w:hint="eastAsia" w:ascii="仿宋_GB2312" w:hAnsi="仿宋_GB2312" w:eastAsia="仿宋_GB2312"/>
          <w:sz w:val="28"/>
          <w:szCs w:val="28"/>
          <w:lang w:eastAsia="zh-CN"/>
        </w:rPr>
        <w:t>中旬</w:t>
      </w:r>
      <w:r>
        <w:rPr>
          <w:rFonts w:ascii="仿宋_GB2312" w:hAnsi="仿宋_GB2312" w:eastAsia="仿宋_GB2312"/>
          <w:sz w:val="28"/>
          <w:szCs w:val="28"/>
        </w:rPr>
        <w:t>。如有特殊情况，请提前说明。</w:t>
      </w:r>
    </w:p>
    <w:p>
      <w:pPr>
        <w:keepNext w:val="0"/>
        <w:keepLines w:val="0"/>
        <w:pageBreakBefore w:val="0"/>
        <w:widowControl/>
        <w:kinsoku/>
        <w:overflowPunct/>
        <w:topLinePunct w:val="0"/>
        <w:autoSpaceDE/>
        <w:autoSpaceDN/>
        <w:bidi w:val="0"/>
        <w:adjustRightInd/>
        <w:snapToGrid w:val="0"/>
        <w:spacing w:line="560" w:lineRule="exact"/>
        <w:ind w:firstLine="560"/>
        <w:jc w:val="left"/>
        <w:textAlignment w:val="auto"/>
        <w:rPr>
          <w:rFonts w:ascii="仿宋_GB2312" w:hAnsi="仿宋_GB2312" w:eastAsia="仿宋_GB2312"/>
          <w:sz w:val="28"/>
          <w:szCs w:val="28"/>
        </w:rPr>
      </w:pPr>
      <w:r>
        <w:rPr>
          <w:rFonts w:hint="eastAsia" w:ascii="仿宋_GB2312" w:hAnsi="仿宋_GB2312" w:eastAsia="仿宋_GB2312"/>
          <w:sz w:val="28"/>
          <w:szCs w:val="28"/>
          <w:lang w:val="en-US" w:eastAsia="zh-CN"/>
        </w:rPr>
        <w:t>8月底</w:t>
      </w:r>
      <w:r>
        <w:rPr>
          <w:rFonts w:ascii="仿宋_GB2312" w:hAnsi="仿宋_GB2312" w:eastAsia="仿宋_GB2312"/>
          <w:sz w:val="28"/>
          <w:szCs w:val="28"/>
        </w:rPr>
        <w:t>我们将组织统一评审，具体评审形式将另行通知。</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 w:hAnsi="仿宋" w:eastAsia="仿宋"/>
          <w:b/>
          <w:sz w:val="30"/>
          <w:szCs w:val="30"/>
        </w:rPr>
      </w:pPr>
      <w:r>
        <w:rPr>
          <w:rFonts w:ascii="仿宋" w:hAnsi="仿宋" w:eastAsia="仿宋"/>
          <w:b/>
          <w:sz w:val="30"/>
          <w:szCs w:val="30"/>
        </w:rPr>
        <w:t>六、材料报送</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请‍‍根据要求填写《中国-上海合作组织国际司法交流合作</w:t>
      </w:r>
      <w:bookmarkStart w:id="1" w:name="_GoBack"/>
      <w:bookmarkEnd w:id="1"/>
      <w:r>
        <w:rPr>
          <w:rFonts w:ascii="仿宋_GB2312" w:hAnsi="仿宋_GB2312" w:eastAsia="仿宋_GB2312"/>
          <w:sz w:val="28"/>
          <w:szCs w:val="28"/>
        </w:rPr>
        <w:t>培训基地案例教学专题课项目申报表》（附件1-2），需提交纸质版与电子版（申报书扫描件），纸质版文件邮寄至相关地址，电子版请发送至legenddxj@163.com。</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因评审需要，请务必及时提交电子版。如有未尽事宜，请致电相关工作人员。</w:t>
      </w:r>
    </w:p>
    <w:p>
      <w:pPr>
        <w:keepNext w:val="0"/>
        <w:keepLines w:val="0"/>
        <w:pageBreakBefore w:val="0"/>
        <w:widowControl/>
        <w:kinsoku/>
        <w:wordWrap w:val="0"/>
        <w:overflowPunct/>
        <w:topLinePunct w:val="0"/>
        <w:autoSpaceDE/>
        <w:autoSpaceDN/>
        <w:bidi w:val="0"/>
        <w:adjustRightInd/>
        <w:snapToGrid w:val="0"/>
        <w:spacing w:line="560" w:lineRule="exact"/>
        <w:ind w:firstLine="606"/>
        <w:jc w:val="left"/>
        <w:textAlignment w:val="auto"/>
        <w:rPr>
          <w:rFonts w:ascii="仿宋" w:hAnsi="仿宋" w:eastAsia="仿宋"/>
          <w:b/>
          <w:sz w:val="30"/>
          <w:szCs w:val="30"/>
        </w:rPr>
      </w:pPr>
      <w:r>
        <w:rPr>
          <w:rFonts w:ascii="仿宋" w:hAnsi="仿宋" w:eastAsia="仿宋"/>
          <w:b/>
          <w:sz w:val="30"/>
          <w:szCs w:val="30"/>
        </w:rPr>
        <w:t>七、其他事项</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（一）项目负责人应保证项目如期完成。如因突发状况无法按期完成项目的，申报单位或个人应提前1个月向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提出书面延期申请，最长延期时间不得超过半年；</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（二）凡因各种原因造成项目无法按原计划进行的，申报单位或个人应及时向</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提交书面说明，经审核同意后方可中止项目；</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（三）项目结项阶段，由</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负责组织专家组对项目成果进行评审。对完成质量不达标或经费使用不规范的项目将采取限期整改或取消项目的措施，</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同时保留追回所有项目建设经费的权利。</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hint="default" w:ascii="仿宋_GB2312" w:hAnsi="仿宋_GB2312" w:eastAsia="仿宋_GB2312"/>
          <w:sz w:val="28"/>
          <w:szCs w:val="28"/>
          <w:lang w:val="en-US" w:eastAsia="zh-CN"/>
        </w:rPr>
      </w:pPr>
      <w:r>
        <w:rPr>
          <w:rFonts w:ascii="仿宋_GB2312" w:hAnsi="仿宋_GB2312" w:eastAsia="仿宋_GB2312"/>
          <w:sz w:val="28"/>
          <w:szCs w:val="28"/>
        </w:rPr>
        <w:t>（四）</w:t>
      </w:r>
      <w:r>
        <w:rPr>
          <w:rFonts w:hint="eastAsia" w:ascii="仿宋_GB2312" w:hAnsi="仿宋_GB2312" w:eastAsia="仿宋_GB2312"/>
          <w:sz w:val="28"/>
          <w:szCs w:val="28"/>
          <w:lang w:val="en-US" w:eastAsia="zh-CN"/>
        </w:rPr>
        <w:t>2018年已申报本项目的相关单位或个人的申报材料依然有效，工作人员将会与申报人员电话确认是否继续申报。</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w:t>
      </w:r>
      <w:r>
        <w:rPr>
          <w:rFonts w:hint="eastAsia" w:ascii="仿宋_GB2312" w:hAnsi="仿宋_GB2312" w:eastAsia="仿宋_GB2312"/>
          <w:sz w:val="28"/>
          <w:szCs w:val="28"/>
          <w:lang w:val="en-US" w:eastAsia="zh-CN"/>
        </w:rPr>
        <w:t>五</w:t>
      </w:r>
      <w:r>
        <w:rPr>
          <w:rFonts w:ascii="仿宋_GB2312" w:hAnsi="仿宋_GB2312" w:eastAsia="仿宋_GB2312"/>
          <w:sz w:val="28"/>
          <w:szCs w:val="28"/>
        </w:rPr>
        <w:t>）本通知事项由</w:t>
      </w:r>
      <w:r>
        <w:rPr>
          <w:rFonts w:hint="eastAsia" w:ascii="仿宋_GB2312" w:hAnsi="仿宋_GB2312" w:eastAsia="仿宋_GB2312"/>
          <w:sz w:val="28"/>
          <w:szCs w:val="28"/>
          <w:lang w:eastAsia="zh-CN"/>
        </w:rPr>
        <w:t>中国-上合基地</w:t>
      </w:r>
      <w:r>
        <w:rPr>
          <w:rFonts w:ascii="仿宋_GB2312" w:hAnsi="仿宋_GB2312" w:eastAsia="仿宋_GB2312"/>
          <w:sz w:val="28"/>
          <w:szCs w:val="28"/>
        </w:rPr>
        <w:t>解释，具体执行由</w:t>
      </w:r>
      <w:r>
        <w:rPr>
          <w:rFonts w:hint="eastAsia" w:ascii="仿宋_GB2312" w:hAnsi="仿宋_GB2312" w:eastAsia="仿宋_GB2312"/>
          <w:sz w:val="28"/>
          <w:szCs w:val="28"/>
          <w:lang w:val="en-US" w:eastAsia="zh-CN"/>
        </w:rPr>
        <w:t>中国-上合基地办公室</w:t>
      </w:r>
      <w:r>
        <w:rPr>
          <w:rFonts w:ascii="仿宋_GB2312" w:hAnsi="仿宋_GB2312" w:eastAsia="仿宋_GB2312"/>
          <w:sz w:val="28"/>
          <w:szCs w:val="28"/>
        </w:rPr>
        <w:t>培训部负责。</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项目联系人：董潇君  地址：上海市青浦区外青松公路7989号</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联系方式：13918861136</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附件1-1：《中国—上海合作组织国际司法交流合作培训基地案例教学专题课项目参考课题》</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r>
        <w:rPr>
          <w:rFonts w:ascii="仿宋_GB2312" w:hAnsi="仿宋_GB2312" w:eastAsia="仿宋_GB2312"/>
          <w:sz w:val="28"/>
          <w:szCs w:val="28"/>
        </w:rPr>
        <w:t>附件1-2：《中国-上海合作组织国际司法交流合作培训基地案例教学专题课项目申报表》</w:t>
      </w:r>
    </w:p>
    <w:p>
      <w:pPr>
        <w:keepNext w:val="0"/>
        <w:keepLines w:val="0"/>
        <w:pageBreakBefore w:val="0"/>
        <w:widowControl/>
        <w:kinsoku/>
        <w:overflowPunct/>
        <w:topLinePunct w:val="0"/>
        <w:autoSpaceDE/>
        <w:autoSpaceDN/>
        <w:bidi w:val="0"/>
        <w:adjustRightInd/>
        <w:snapToGrid w:val="0"/>
        <w:spacing w:line="560" w:lineRule="exact"/>
        <w:ind w:firstLine="560"/>
        <w:textAlignment w:val="auto"/>
        <w:rPr>
          <w:rFonts w:ascii="仿宋_GB2312" w:hAnsi="仿宋_GB2312" w:eastAsia="仿宋_GB2312"/>
          <w:sz w:val="28"/>
          <w:szCs w:val="28"/>
        </w:rPr>
      </w:pPr>
    </w:p>
    <w:p>
      <w:pPr>
        <w:keepNext w:val="0"/>
        <w:keepLines w:val="0"/>
        <w:pageBreakBefore w:val="0"/>
        <w:widowControl/>
        <w:kinsoku/>
        <w:wordWrap w:val="0"/>
        <w:overflowPunct/>
        <w:topLinePunct w:val="0"/>
        <w:autoSpaceDE/>
        <w:autoSpaceDN/>
        <w:bidi w:val="0"/>
        <w:adjustRightInd/>
        <w:snapToGrid w:val="0"/>
        <w:spacing w:before="50" w:line="560" w:lineRule="exact"/>
        <w:jc w:val="right"/>
        <w:textAlignment w:val="auto"/>
        <w:rPr>
          <w:rFonts w:ascii="仿宋_GB2312" w:hAnsi="仿宋_GB2312" w:eastAsia="仿宋_GB2312"/>
          <w:sz w:val="28"/>
          <w:szCs w:val="28"/>
        </w:rPr>
      </w:pPr>
      <w:r>
        <w:rPr>
          <w:rFonts w:ascii="仿宋_GB2312" w:hAnsi="仿宋_GB2312" w:eastAsia="仿宋_GB2312"/>
          <w:sz w:val="28"/>
          <w:szCs w:val="28"/>
        </w:rPr>
        <w:t>中国—上海合作组织国际司法交流合作培训基地</w:t>
      </w:r>
    </w:p>
    <w:p>
      <w:pPr>
        <w:keepNext w:val="0"/>
        <w:keepLines w:val="0"/>
        <w:pageBreakBefore w:val="0"/>
        <w:widowControl/>
        <w:kinsoku/>
        <w:overflowPunct/>
        <w:topLinePunct w:val="0"/>
        <w:autoSpaceDE/>
        <w:autoSpaceDN/>
        <w:bidi w:val="0"/>
        <w:adjustRightInd/>
        <w:snapToGrid w:val="0"/>
        <w:spacing w:line="560" w:lineRule="exact"/>
        <w:jc w:val="right"/>
        <w:textAlignment w:val="auto"/>
        <w:rPr>
          <w:rFonts w:ascii="仿宋_GB2312" w:hAnsi="仿宋_GB2312" w:eastAsia="仿宋_GB2312"/>
          <w:sz w:val="28"/>
          <w:szCs w:val="28"/>
        </w:rPr>
      </w:pPr>
      <w:r>
        <w:rPr>
          <w:rFonts w:ascii="仿宋_GB2312" w:hAnsi="仿宋_GB2312" w:eastAsia="仿宋_GB2312"/>
          <w:sz w:val="28"/>
          <w:szCs w:val="28"/>
        </w:rPr>
        <w:t>201</w:t>
      </w:r>
      <w:r>
        <w:rPr>
          <w:rFonts w:hint="eastAsia" w:ascii="仿宋_GB2312" w:hAnsi="仿宋_GB2312" w:eastAsia="仿宋_GB2312"/>
          <w:sz w:val="28"/>
          <w:szCs w:val="28"/>
          <w:lang w:val="en-US" w:eastAsia="zh-CN"/>
        </w:rPr>
        <w:t>9</w:t>
      </w:r>
      <w:r>
        <w:rPr>
          <w:rFonts w:ascii="仿宋_GB2312" w:hAnsi="仿宋_GB2312" w:eastAsia="仿宋_GB2312"/>
          <w:sz w:val="28"/>
          <w:szCs w:val="28"/>
        </w:rPr>
        <w:t>年</w:t>
      </w:r>
      <w:r>
        <w:rPr>
          <w:rFonts w:hint="eastAsia" w:ascii="仿宋_GB2312" w:hAnsi="仿宋_GB2312" w:eastAsia="仿宋_GB2312"/>
          <w:sz w:val="28"/>
          <w:szCs w:val="28"/>
          <w:lang w:val="en-US" w:eastAsia="zh-CN"/>
        </w:rPr>
        <w:t>7</w:t>
      </w:r>
      <w:r>
        <w:rPr>
          <w:rFonts w:ascii="仿宋_GB2312" w:hAnsi="仿宋_GB2312" w:eastAsia="仿宋_GB2312"/>
          <w:sz w:val="28"/>
          <w:szCs w:val="28"/>
        </w:rPr>
        <w:t>月</w:t>
      </w:r>
      <w:r>
        <w:rPr>
          <w:rFonts w:hint="eastAsia" w:ascii="仿宋_GB2312" w:hAnsi="仿宋_GB2312" w:eastAsia="仿宋_GB2312"/>
          <w:sz w:val="28"/>
          <w:szCs w:val="28"/>
          <w:lang w:val="en-US" w:eastAsia="zh-CN"/>
        </w:rPr>
        <w:t>23</w:t>
      </w:r>
      <w:r>
        <w:rPr>
          <w:rFonts w:ascii="仿宋_GB2312" w:hAnsi="仿宋_GB2312" w:eastAsia="仿宋_GB2312"/>
          <w:sz w:val="28"/>
          <w:szCs w:val="28"/>
        </w:rPr>
        <w:t>日</w:t>
      </w:r>
    </w:p>
    <w:p>
      <w:pPr>
        <w:snapToGrid w:val="0"/>
        <w:spacing w:line="360" w:lineRule="auto"/>
        <w:jc w:val="right"/>
        <w:rPr>
          <w:rFonts w:ascii="仿宋_GB2312" w:hAnsi="仿宋_GB2312" w:eastAsia="仿宋_GB2312"/>
          <w:sz w:val="28"/>
          <w:szCs w:val="28"/>
        </w:rPr>
      </w:pPr>
    </w:p>
    <w:p>
      <w:pPr>
        <w:rPr>
          <w:rFonts w:ascii="华文中宋" w:hAnsi="华文中宋" w:eastAsia="华文中宋"/>
          <w:b/>
          <w:sz w:val="30"/>
          <w:szCs w:val="30"/>
        </w:rPr>
      </w:pPr>
      <w:r>
        <w:rPr>
          <w:rFonts w:ascii="华文中宋" w:hAnsi="华文中宋" w:eastAsia="华文中宋"/>
          <w:b/>
          <w:sz w:val="30"/>
          <w:szCs w:val="30"/>
        </w:rPr>
        <w:br w:type="page"/>
      </w:r>
    </w:p>
    <w:p>
      <w:pPr>
        <w:snapToGrid w:val="0"/>
        <w:spacing w:line="360" w:lineRule="auto"/>
        <w:rPr>
          <w:rFonts w:ascii="华文中宋" w:hAnsi="华文中宋" w:eastAsia="华文中宋"/>
          <w:b/>
          <w:sz w:val="30"/>
          <w:szCs w:val="30"/>
        </w:rPr>
      </w:pPr>
      <w:r>
        <w:rPr>
          <w:rFonts w:ascii="华文中宋" w:hAnsi="华文中宋" w:eastAsia="华文中宋"/>
          <w:b/>
          <w:sz w:val="30"/>
          <w:szCs w:val="30"/>
        </w:rPr>
        <w:t>附件1-1</w:t>
      </w:r>
    </w:p>
    <w:p>
      <w:pPr>
        <w:snapToGrid w:val="0"/>
        <w:spacing w:line="360" w:lineRule="auto"/>
        <w:jc w:val="center"/>
        <w:rPr>
          <w:rFonts w:ascii="仿宋" w:hAnsi="仿宋" w:eastAsia="仿宋"/>
          <w:b/>
          <w:sz w:val="32"/>
          <w:szCs w:val="32"/>
        </w:rPr>
      </w:pPr>
      <w:r>
        <w:rPr>
          <w:rFonts w:ascii="仿宋" w:hAnsi="仿宋" w:eastAsia="仿宋"/>
          <w:b/>
          <w:sz w:val="32"/>
          <w:szCs w:val="32"/>
        </w:rPr>
        <w:t>中国—上海合作组织国际司法交流合作培训基地</w:t>
      </w:r>
    </w:p>
    <w:p>
      <w:pPr>
        <w:snapToGrid w:val="0"/>
        <w:spacing w:line="360" w:lineRule="auto"/>
        <w:jc w:val="center"/>
        <w:rPr>
          <w:rFonts w:ascii="仿宋" w:hAnsi="仿宋" w:eastAsia="仿宋"/>
          <w:b/>
          <w:sz w:val="32"/>
          <w:szCs w:val="32"/>
        </w:rPr>
      </w:pPr>
      <w:r>
        <w:rPr>
          <w:rFonts w:ascii="仿宋" w:hAnsi="仿宋" w:eastAsia="仿宋"/>
          <w:b/>
          <w:sz w:val="32"/>
          <w:szCs w:val="32"/>
        </w:rPr>
        <w:t>案例教学专题课项目参考课题</w:t>
      </w:r>
    </w:p>
    <w:p>
      <w:pPr>
        <w:snapToGrid w:val="0"/>
        <w:spacing w:line="360" w:lineRule="auto"/>
        <w:rPr>
          <w:rFonts w:ascii="仿宋" w:hAnsi="仿宋" w:eastAsia="仿宋"/>
          <w:b/>
          <w:sz w:val="28"/>
          <w:szCs w:val="28"/>
        </w:rPr>
      </w:pPr>
    </w:p>
    <w:p>
      <w:pPr>
        <w:snapToGrid w:val="0"/>
        <w:spacing w:line="360" w:lineRule="auto"/>
        <w:jc w:val="left"/>
        <w:rPr>
          <w:rFonts w:ascii="仿宋" w:hAnsi="仿宋" w:eastAsia="仿宋"/>
          <w:b/>
          <w:sz w:val="28"/>
          <w:szCs w:val="28"/>
        </w:rPr>
      </w:pPr>
      <w:r>
        <w:rPr>
          <w:rFonts w:ascii="仿宋" w:hAnsi="仿宋" w:eastAsia="仿宋"/>
          <w:b/>
          <w:sz w:val="28"/>
          <w:szCs w:val="28"/>
        </w:rPr>
        <w:t>一、国际执法合作</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1、新形势下我国国际警务合作的加强与完善</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2、国际执法合作的构成条件与保障策略</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3、新时代上合组织区域内国际执法合作展望</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4、引渡制度的现实困境与应对出路</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5、涉外刑事案件的处置对策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6、跨境网络、电信诈骗的防控与应对</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7、国际执法合作中的的警务资源共享问题</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8、“互联网+”背景下的国际执法合作新思维</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9、犯罪人员外逃问题及对策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10、联合打击“三股势力”的现状及未来发展</w:t>
      </w:r>
    </w:p>
    <w:p>
      <w:pPr>
        <w:snapToGrid w:val="0"/>
        <w:spacing w:line="360" w:lineRule="auto"/>
        <w:jc w:val="left"/>
        <w:rPr>
          <w:rFonts w:ascii="仿宋" w:hAnsi="仿宋" w:eastAsia="仿宋"/>
          <w:sz w:val="28"/>
          <w:szCs w:val="28"/>
        </w:rPr>
      </w:pPr>
    </w:p>
    <w:p>
      <w:pPr>
        <w:numPr>
          <w:ilvl w:val="0"/>
          <w:numId w:val="1"/>
        </w:numPr>
        <w:snapToGrid w:val="0"/>
        <w:spacing w:line="360" w:lineRule="auto"/>
        <w:jc w:val="left"/>
        <w:rPr>
          <w:rFonts w:ascii="仿宋" w:hAnsi="仿宋" w:eastAsia="仿宋"/>
          <w:b/>
          <w:sz w:val="28"/>
          <w:szCs w:val="28"/>
        </w:rPr>
      </w:pPr>
      <w:r>
        <w:rPr>
          <w:rFonts w:ascii="仿宋" w:hAnsi="仿宋" w:eastAsia="仿宋"/>
          <w:b/>
          <w:sz w:val="28"/>
          <w:szCs w:val="28"/>
        </w:rPr>
        <w:t>警务管理</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中国宪法基本原则与民警执法观念</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基层警力资源的合理配置</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警务组织扁平化的作用</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品牌战略在警察形象塑造中的作用</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警察职务犯罪与防范</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加强警察队伍建设的途径与方法</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警察形象危机防治与对策</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智囊机构在警务决策中的作用</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信息时代的警务指挥体系</w:t>
      </w:r>
    </w:p>
    <w:p>
      <w:pPr>
        <w:numPr>
          <w:ilvl w:val="0"/>
          <w:numId w:val="2"/>
        </w:numPr>
        <w:snapToGrid w:val="0"/>
        <w:spacing w:line="360" w:lineRule="auto"/>
        <w:jc w:val="left"/>
        <w:rPr>
          <w:rFonts w:ascii="仿宋" w:hAnsi="仿宋" w:eastAsia="仿宋"/>
          <w:sz w:val="28"/>
          <w:szCs w:val="28"/>
        </w:rPr>
      </w:pPr>
      <w:r>
        <w:rPr>
          <w:rFonts w:ascii="仿宋" w:hAnsi="仿宋" w:eastAsia="仿宋"/>
          <w:sz w:val="28"/>
          <w:szCs w:val="28"/>
        </w:rPr>
        <w:t>“互联网+”时代下警务工作创新</w:t>
      </w:r>
    </w:p>
    <w:p>
      <w:pPr>
        <w:snapToGrid w:val="0"/>
        <w:spacing w:line="360" w:lineRule="auto"/>
        <w:jc w:val="left"/>
        <w:rPr>
          <w:rFonts w:ascii="仿宋" w:hAnsi="仿宋" w:eastAsia="仿宋"/>
          <w:sz w:val="28"/>
          <w:szCs w:val="28"/>
        </w:rPr>
      </w:pPr>
    </w:p>
    <w:p>
      <w:pPr>
        <w:numPr>
          <w:ilvl w:val="0"/>
          <w:numId w:val="1"/>
        </w:numPr>
        <w:snapToGrid w:val="0"/>
        <w:spacing w:line="360" w:lineRule="auto"/>
        <w:jc w:val="left"/>
        <w:rPr>
          <w:rFonts w:ascii="仿宋" w:hAnsi="仿宋" w:eastAsia="仿宋"/>
          <w:b/>
          <w:sz w:val="28"/>
          <w:szCs w:val="28"/>
        </w:rPr>
      </w:pPr>
      <w:r>
        <w:rPr>
          <w:rFonts w:ascii="仿宋" w:hAnsi="仿宋" w:eastAsia="仿宋"/>
          <w:b/>
          <w:sz w:val="28"/>
          <w:szCs w:val="28"/>
        </w:rPr>
        <w:t>大型活动安保</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大型安保活动中突发事件的预防与处置</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大型安保活动的风险评估机制</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大型活动中发生群体性事件后的媒体应对</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大型活动安全管理工作的问题与对策</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大型活动安保工作的组织与实施</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大型活动安保技术的演变</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“春运”期间的安全保障措施</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警民联动在大型活动安保中的作用</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社会管理创新背景下的大型活动安保</w:t>
      </w:r>
    </w:p>
    <w:p>
      <w:pPr>
        <w:numPr>
          <w:ilvl w:val="0"/>
          <w:numId w:val="3"/>
        </w:numPr>
        <w:snapToGrid w:val="0"/>
        <w:spacing w:line="360" w:lineRule="auto"/>
        <w:jc w:val="left"/>
        <w:rPr>
          <w:rFonts w:ascii="仿宋" w:hAnsi="仿宋" w:eastAsia="仿宋"/>
          <w:sz w:val="28"/>
          <w:szCs w:val="28"/>
        </w:rPr>
      </w:pPr>
      <w:r>
        <w:rPr>
          <w:rFonts w:ascii="仿宋" w:hAnsi="仿宋" w:eastAsia="仿宋"/>
          <w:sz w:val="28"/>
          <w:szCs w:val="28"/>
        </w:rPr>
        <w:t>大型安保与我国警务机制改革</w:t>
      </w:r>
    </w:p>
    <w:p>
      <w:pPr>
        <w:snapToGrid w:val="0"/>
        <w:spacing w:line="360" w:lineRule="auto"/>
        <w:jc w:val="left"/>
        <w:rPr>
          <w:rFonts w:ascii="仿宋" w:hAnsi="仿宋" w:eastAsia="仿宋"/>
          <w:sz w:val="28"/>
          <w:szCs w:val="28"/>
        </w:rPr>
      </w:pPr>
    </w:p>
    <w:p>
      <w:pPr>
        <w:snapToGrid w:val="0"/>
        <w:spacing w:line="360" w:lineRule="auto"/>
        <w:jc w:val="left"/>
        <w:rPr>
          <w:rFonts w:ascii="仿宋" w:hAnsi="仿宋" w:eastAsia="仿宋"/>
          <w:b/>
          <w:sz w:val="28"/>
          <w:szCs w:val="28"/>
        </w:rPr>
      </w:pPr>
      <w:r>
        <w:rPr>
          <w:rFonts w:ascii="仿宋" w:hAnsi="仿宋" w:eastAsia="仿宋"/>
          <w:b/>
          <w:sz w:val="28"/>
          <w:szCs w:val="28"/>
        </w:rPr>
        <w:t>四、禁毒</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1、毒品犯罪控制策略</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2、禁毒情报在毒品案件侦查中的应用</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3、毒品交易的防控对策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4、网络涉毒预防与控制</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5、吸毒人员成因与分析</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6、吸毒人员动态管控</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7、中国境内毒品的主要来源</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8、新形势下联合打击制毒、贩毒的成果与展望</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9、“金星月”地区毒品犯罪形势</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10、未成年人毒品犯罪的防范与对策</w:t>
      </w:r>
    </w:p>
    <w:p>
      <w:pPr>
        <w:snapToGrid w:val="0"/>
        <w:spacing w:line="360" w:lineRule="auto"/>
        <w:jc w:val="left"/>
        <w:rPr>
          <w:rFonts w:ascii="仿宋" w:hAnsi="仿宋" w:eastAsia="仿宋"/>
          <w:b/>
          <w:sz w:val="28"/>
          <w:szCs w:val="28"/>
        </w:rPr>
      </w:pPr>
    </w:p>
    <w:p>
      <w:pPr>
        <w:snapToGrid w:val="0"/>
        <w:spacing w:line="360" w:lineRule="auto"/>
        <w:jc w:val="left"/>
        <w:rPr>
          <w:rFonts w:ascii="仿宋" w:hAnsi="仿宋" w:eastAsia="仿宋"/>
          <w:b/>
          <w:sz w:val="28"/>
          <w:szCs w:val="28"/>
        </w:rPr>
      </w:pPr>
      <w:r>
        <w:rPr>
          <w:rFonts w:ascii="仿宋" w:hAnsi="仿宋" w:eastAsia="仿宋"/>
          <w:b/>
          <w:sz w:val="28"/>
          <w:szCs w:val="28"/>
        </w:rPr>
        <w:t>五、网络安全</w:t>
      </w:r>
    </w:p>
    <w:p>
      <w:pPr>
        <w:snapToGrid w:val="0"/>
        <w:spacing w:line="360" w:lineRule="auto"/>
        <w:jc w:val="left"/>
        <w:rPr>
          <w:rFonts w:ascii="仿宋" w:hAnsi="仿宋" w:eastAsia="仿宋"/>
          <w:sz w:val="28"/>
          <w:szCs w:val="28"/>
        </w:rPr>
      </w:pPr>
      <w:r>
        <w:rPr>
          <w:rFonts w:ascii="仿宋" w:hAnsi="仿宋" w:eastAsia="仿宋"/>
          <w:b/>
          <w:sz w:val="28"/>
          <w:szCs w:val="28"/>
        </w:rPr>
        <w:t>1、</w:t>
      </w:r>
      <w:r>
        <w:rPr>
          <w:rFonts w:ascii="仿宋" w:hAnsi="仿宋" w:eastAsia="仿宋"/>
          <w:sz w:val="28"/>
          <w:szCs w:val="28"/>
        </w:rPr>
        <w:t>网络安全问题及应对措施</w:t>
      </w:r>
    </w:p>
    <w:p>
      <w:pPr>
        <w:snapToGrid w:val="0"/>
        <w:spacing w:line="360" w:lineRule="auto"/>
        <w:jc w:val="left"/>
        <w:rPr>
          <w:rFonts w:ascii="仿宋" w:hAnsi="仿宋" w:eastAsia="仿宋"/>
          <w:sz w:val="28"/>
          <w:szCs w:val="28"/>
        </w:rPr>
      </w:pPr>
      <w:r>
        <w:rPr>
          <w:rFonts w:ascii="仿宋" w:hAnsi="仿宋" w:eastAsia="仿宋"/>
          <w:sz w:val="28"/>
          <w:szCs w:val="28"/>
        </w:rPr>
        <w:t>2、网络安全监控机制</w:t>
      </w:r>
    </w:p>
    <w:p>
      <w:pPr>
        <w:snapToGrid w:val="0"/>
        <w:spacing w:line="360" w:lineRule="auto"/>
        <w:jc w:val="left"/>
        <w:rPr>
          <w:rFonts w:ascii="仿宋" w:hAnsi="仿宋" w:eastAsia="仿宋"/>
          <w:sz w:val="28"/>
          <w:szCs w:val="28"/>
        </w:rPr>
      </w:pPr>
      <w:r>
        <w:rPr>
          <w:rFonts w:ascii="仿宋" w:hAnsi="仿宋" w:eastAsia="仿宋"/>
          <w:sz w:val="28"/>
          <w:szCs w:val="28"/>
        </w:rPr>
        <w:t>3、网络舆情事件的处置对策</w:t>
      </w:r>
    </w:p>
    <w:p>
      <w:pPr>
        <w:snapToGrid w:val="0"/>
        <w:spacing w:line="360" w:lineRule="auto"/>
        <w:jc w:val="left"/>
        <w:rPr>
          <w:rFonts w:ascii="仿宋" w:hAnsi="仿宋" w:eastAsia="仿宋"/>
          <w:sz w:val="28"/>
          <w:szCs w:val="28"/>
        </w:rPr>
      </w:pPr>
      <w:r>
        <w:rPr>
          <w:rFonts w:ascii="仿宋" w:hAnsi="仿宋" w:eastAsia="仿宋"/>
          <w:sz w:val="28"/>
          <w:szCs w:val="28"/>
        </w:rPr>
        <w:t>4、网络安全技术在防恐中的应用</w:t>
      </w:r>
    </w:p>
    <w:p>
      <w:pPr>
        <w:snapToGrid w:val="0"/>
        <w:spacing w:line="360" w:lineRule="auto"/>
        <w:jc w:val="left"/>
        <w:rPr>
          <w:rFonts w:ascii="仿宋" w:hAnsi="仿宋" w:eastAsia="仿宋"/>
          <w:sz w:val="28"/>
          <w:szCs w:val="28"/>
        </w:rPr>
      </w:pPr>
      <w:r>
        <w:rPr>
          <w:rFonts w:ascii="仿宋" w:hAnsi="仿宋" w:eastAsia="仿宋"/>
          <w:sz w:val="28"/>
          <w:szCs w:val="28"/>
        </w:rPr>
        <w:t>5、智能视频技术在提高大规模图像信息监控效率中的应用</w:t>
      </w:r>
    </w:p>
    <w:p>
      <w:pPr>
        <w:snapToGrid w:val="0"/>
        <w:spacing w:line="360" w:lineRule="auto"/>
        <w:jc w:val="left"/>
        <w:rPr>
          <w:rFonts w:ascii="仿宋" w:hAnsi="仿宋" w:eastAsia="仿宋"/>
          <w:sz w:val="28"/>
          <w:szCs w:val="28"/>
        </w:rPr>
      </w:pPr>
      <w:r>
        <w:rPr>
          <w:rFonts w:ascii="仿宋" w:hAnsi="仿宋" w:eastAsia="仿宋"/>
          <w:sz w:val="28"/>
          <w:szCs w:val="28"/>
        </w:rPr>
        <w:t>6、网络虚拟社会安全管理面临的挑战与对策</w:t>
      </w:r>
    </w:p>
    <w:p>
      <w:pPr>
        <w:snapToGrid w:val="0"/>
        <w:spacing w:line="360" w:lineRule="auto"/>
        <w:jc w:val="left"/>
        <w:rPr>
          <w:rFonts w:ascii="仿宋" w:hAnsi="仿宋" w:eastAsia="仿宋"/>
          <w:sz w:val="28"/>
          <w:szCs w:val="28"/>
        </w:rPr>
      </w:pPr>
      <w:r>
        <w:rPr>
          <w:rFonts w:ascii="仿宋" w:hAnsi="仿宋" w:eastAsia="仿宋"/>
          <w:sz w:val="28"/>
          <w:szCs w:val="28"/>
        </w:rPr>
        <w:t>7、论黑客攻击技术及防范对策</w:t>
      </w:r>
    </w:p>
    <w:p>
      <w:pPr>
        <w:snapToGrid w:val="0"/>
        <w:spacing w:line="360" w:lineRule="auto"/>
        <w:jc w:val="left"/>
        <w:rPr>
          <w:rFonts w:ascii="仿宋" w:hAnsi="仿宋" w:eastAsia="仿宋"/>
          <w:sz w:val="28"/>
          <w:szCs w:val="28"/>
        </w:rPr>
      </w:pPr>
      <w:r>
        <w:rPr>
          <w:rFonts w:ascii="仿宋" w:hAnsi="仿宋" w:eastAsia="仿宋"/>
          <w:sz w:val="28"/>
          <w:szCs w:val="28"/>
        </w:rPr>
        <w:t>8、网络涉警舆情事件的处置对策研究</w:t>
      </w:r>
    </w:p>
    <w:p>
      <w:pPr>
        <w:snapToGrid w:val="0"/>
        <w:spacing w:line="360" w:lineRule="auto"/>
        <w:jc w:val="left"/>
        <w:rPr>
          <w:rFonts w:ascii="仿宋" w:hAnsi="仿宋" w:eastAsia="仿宋"/>
          <w:sz w:val="28"/>
          <w:szCs w:val="28"/>
        </w:rPr>
      </w:pPr>
      <w:r>
        <w:rPr>
          <w:rFonts w:ascii="仿宋" w:hAnsi="仿宋" w:eastAsia="仿宋"/>
          <w:sz w:val="28"/>
          <w:szCs w:val="28"/>
        </w:rPr>
        <w:t>9、网络安全意识现状与对策研究</w:t>
      </w:r>
    </w:p>
    <w:p>
      <w:pPr>
        <w:snapToGrid w:val="0"/>
        <w:spacing w:line="360" w:lineRule="auto"/>
        <w:jc w:val="left"/>
        <w:rPr>
          <w:rFonts w:ascii="仿宋" w:hAnsi="仿宋" w:eastAsia="仿宋"/>
          <w:sz w:val="28"/>
          <w:szCs w:val="28"/>
        </w:rPr>
      </w:pPr>
      <w:r>
        <w:rPr>
          <w:rFonts w:ascii="仿宋" w:hAnsi="仿宋" w:eastAsia="仿宋"/>
          <w:sz w:val="28"/>
          <w:szCs w:val="28"/>
        </w:rPr>
        <w:t>10、基于大数据的犯罪高风险人员识别与管控</w:t>
      </w:r>
    </w:p>
    <w:p>
      <w:pPr>
        <w:snapToGrid w:val="0"/>
        <w:spacing w:line="360" w:lineRule="auto"/>
        <w:jc w:val="left"/>
        <w:rPr>
          <w:rFonts w:ascii="仿宋" w:hAnsi="仿宋" w:eastAsia="仿宋"/>
          <w:sz w:val="28"/>
          <w:szCs w:val="28"/>
        </w:rPr>
      </w:pPr>
    </w:p>
    <w:p>
      <w:pPr>
        <w:snapToGrid w:val="0"/>
        <w:spacing w:line="360" w:lineRule="auto"/>
        <w:jc w:val="left"/>
        <w:rPr>
          <w:rFonts w:ascii="仿宋" w:hAnsi="仿宋" w:eastAsia="仿宋"/>
          <w:b/>
          <w:sz w:val="28"/>
          <w:szCs w:val="28"/>
        </w:rPr>
      </w:pPr>
      <w:r>
        <w:rPr>
          <w:rFonts w:ascii="仿宋" w:hAnsi="仿宋" w:eastAsia="仿宋"/>
          <w:b/>
          <w:sz w:val="28"/>
          <w:szCs w:val="28"/>
        </w:rPr>
        <w:t>六、反恐工作</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1、当前我国恐怖主义犯罪问题研究</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2、国际恐怖主义犯罪的现状，成因及防范对策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3、个人极端暴力犯罪的成因及防范</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4、绑架案件的处置对策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5、论爆炸案件的临场处置</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6、后“伊斯兰国”时代的反恐新形势</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7、上合组织区域内的反恐形势与未来展望</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8、恐怖主义活动形式的演变</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9、网络途径下的恐怖主义思想防控</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10、极端主义分子心理个案分析</w:t>
      </w:r>
    </w:p>
    <w:p>
      <w:pPr>
        <w:snapToGrid w:val="0"/>
        <w:spacing w:line="360" w:lineRule="auto"/>
        <w:jc w:val="left"/>
        <w:rPr>
          <w:rFonts w:ascii="仿宋" w:hAnsi="仿宋" w:eastAsia="仿宋"/>
          <w:b/>
          <w:sz w:val="28"/>
          <w:szCs w:val="28"/>
        </w:rPr>
      </w:pPr>
      <w:r>
        <w:rPr>
          <w:rFonts w:ascii="仿宋" w:hAnsi="仿宋" w:eastAsia="仿宋"/>
          <w:b/>
          <w:sz w:val="28"/>
          <w:szCs w:val="28"/>
        </w:rPr>
        <w:t>七、边检工作</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1、边防检查口岸控制机制</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2、边检诚信管理体制建设</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3、边防检查工作中的有效沟通</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4、大数据时代背景下的边检信息工作创新</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5、边检服务品牌创建</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6、新兴技术在边检工作中的应用</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7、当前偷渡犯罪活动的特点与对策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8、当前外国人管理中存在的问题及对策</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9、“三非”外国人的管理</w:t>
      </w:r>
    </w:p>
    <w:p>
      <w:pPr>
        <w:pStyle w:val="34"/>
        <w:snapToGrid w:val="0"/>
        <w:spacing w:line="360" w:lineRule="auto"/>
        <w:ind w:left="0"/>
        <w:jc w:val="left"/>
        <w:rPr>
          <w:rFonts w:ascii="仿宋" w:hAnsi="仿宋" w:eastAsia="仿宋"/>
          <w:sz w:val="28"/>
          <w:szCs w:val="28"/>
        </w:rPr>
      </w:pPr>
      <w:r>
        <w:rPr>
          <w:rFonts w:ascii="仿宋" w:hAnsi="仿宋" w:eastAsia="仿宋"/>
          <w:sz w:val="28"/>
          <w:szCs w:val="28"/>
        </w:rPr>
        <w:t>10、外国人在华违法犯罪的防范</w:t>
      </w:r>
    </w:p>
    <w:p>
      <w:pPr>
        <w:snapToGrid w:val="0"/>
        <w:spacing w:line="360" w:lineRule="auto"/>
        <w:jc w:val="left"/>
        <w:rPr>
          <w:rFonts w:ascii="仿宋" w:hAnsi="仿宋" w:eastAsia="仿宋"/>
          <w:b/>
          <w:sz w:val="28"/>
          <w:szCs w:val="28"/>
        </w:rPr>
      </w:pPr>
    </w:p>
    <w:p>
      <w:pPr>
        <w:snapToGrid w:val="0"/>
        <w:spacing w:line="360" w:lineRule="auto"/>
        <w:jc w:val="left"/>
        <w:rPr>
          <w:rFonts w:ascii="仿宋" w:hAnsi="仿宋" w:eastAsia="仿宋"/>
          <w:sz w:val="28"/>
          <w:szCs w:val="28"/>
        </w:rPr>
      </w:pPr>
      <w:r>
        <w:rPr>
          <w:rFonts w:ascii="仿宋" w:hAnsi="仿宋" w:eastAsia="仿宋"/>
          <w:b/>
          <w:sz w:val="28"/>
          <w:szCs w:val="28"/>
        </w:rPr>
        <w:t>八、其他相关案例教学课程</w:t>
      </w:r>
    </w:p>
    <w:p>
      <w:pPr>
        <w:snapToGrid w:val="0"/>
        <w:spacing w:line="360" w:lineRule="auto"/>
        <w:rPr>
          <w:rFonts w:ascii="仿宋" w:hAnsi="仿宋" w:eastAsia="仿宋"/>
          <w:sz w:val="28"/>
          <w:szCs w:val="28"/>
        </w:rPr>
      </w:pPr>
      <w:r>
        <w:br w:type="page"/>
      </w:r>
    </w:p>
    <w:p>
      <w:pPr>
        <w:snapToGrid w:val="0"/>
        <w:spacing w:line="360" w:lineRule="auto"/>
        <w:rPr>
          <w:rFonts w:ascii="华文中宋" w:hAnsi="华文中宋" w:eastAsia="华文中宋"/>
          <w:b/>
          <w:sz w:val="30"/>
          <w:szCs w:val="30"/>
        </w:rPr>
      </w:pPr>
      <w:r>
        <w:rPr>
          <w:rFonts w:ascii="华文中宋" w:hAnsi="华文中宋" w:eastAsia="华文中宋"/>
          <w:b/>
          <w:sz w:val="30"/>
          <w:szCs w:val="30"/>
        </w:rPr>
        <w:t>附件1-2</w:t>
      </w:r>
    </w:p>
    <w:p>
      <w:pPr>
        <w:wordWrap w:val="0"/>
        <w:spacing w:after="160" w:line="360" w:lineRule="auto"/>
        <w:jc w:val="center"/>
        <w:rPr>
          <w:rFonts w:ascii="华文中宋" w:hAnsi="华文中宋" w:eastAsia="华文中宋"/>
          <w:b/>
          <w:sz w:val="32"/>
          <w:szCs w:val="32"/>
        </w:rPr>
      </w:pPr>
      <w:r>
        <w:rPr>
          <w:rFonts w:ascii="华文中宋" w:hAnsi="华文中宋" w:eastAsia="华文中宋"/>
          <w:b/>
          <w:sz w:val="32"/>
          <w:szCs w:val="32"/>
        </w:rPr>
        <w:t>中国-上海合作组织国际司法交流合作培训基地</w:t>
      </w:r>
    </w:p>
    <w:p>
      <w:pPr>
        <w:wordWrap w:val="0"/>
        <w:spacing w:after="160" w:line="360" w:lineRule="auto"/>
        <w:jc w:val="center"/>
        <w:rPr>
          <w:rFonts w:ascii="华文中宋" w:hAnsi="华文中宋" w:eastAsia="华文中宋"/>
          <w:b/>
          <w:sz w:val="32"/>
          <w:szCs w:val="32"/>
        </w:rPr>
      </w:pPr>
      <w:r>
        <w:rPr>
          <w:rFonts w:hint="eastAsia" w:ascii="华文中宋" w:hAnsi="华文中宋" w:eastAsia="华文中宋"/>
          <w:b/>
          <w:sz w:val="32"/>
          <w:szCs w:val="32"/>
          <w:lang w:val="en-US" w:eastAsia="zh-CN"/>
        </w:rPr>
        <w:t>2018-2020年度</w:t>
      </w:r>
      <w:r>
        <w:rPr>
          <w:rFonts w:ascii="华文中宋" w:hAnsi="华文中宋" w:eastAsia="华文中宋"/>
          <w:b/>
          <w:sz w:val="32"/>
          <w:szCs w:val="32"/>
        </w:rPr>
        <w:t>案例教学专题课项目</w:t>
      </w:r>
    </w:p>
    <w:p>
      <w:pPr>
        <w:wordWrap w:val="0"/>
        <w:spacing w:after="160" w:line="360" w:lineRule="auto"/>
        <w:jc w:val="center"/>
        <w:rPr>
          <w:rFonts w:ascii="华文中宋" w:hAnsi="华文中宋" w:eastAsia="华文中宋"/>
          <w:b/>
          <w:sz w:val="32"/>
          <w:szCs w:val="32"/>
        </w:rPr>
      </w:pPr>
    </w:p>
    <w:p>
      <w:pPr>
        <w:wordWrap w:val="0"/>
        <w:spacing w:after="160" w:line="360" w:lineRule="auto"/>
        <w:jc w:val="center"/>
        <w:rPr>
          <w:rFonts w:ascii="华文中宋" w:hAnsi="华文中宋" w:eastAsia="华文中宋"/>
          <w:b/>
          <w:sz w:val="32"/>
          <w:szCs w:val="32"/>
        </w:rPr>
      </w:pPr>
      <w:r>
        <w:rPr>
          <w:rFonts w:ascii="华文中宋" w:hAnsi="华文中宋" w:eastAsia="华文中宋"/>
          <w:b/>
          <w:sz w:val="32"/>
          <w:szCs w:val="32"/>
        </w:rPr>
        <w:t>申报表</w:t>
      </w:r>
    </w:p>
    <w:p>
      <w:pPr>
        <w:wordWrap w:val="0"/>
        <w:spacing w:after="240" w:line="360" w:lineRule="auto"/>
        <w:jc w:val="left"/>
        <w:rPr>
          <w:rFonts w:hAnsi="宋体"/>
          <w:shd w:val="clear" w:color="000000" w:fill="auto"/>
        </w:rPr>
      </w:pPr>
    </w:p>
    <w:p>
      <w:pPr>
        <w:wordWrap w:val="0"/>
        <w:spacing w:after="240" w:line="360" w:lineRule="auto"/>
        <w:jc w:val="left"/>
        <w:rPr>
          <w:rFonts w:ascii="仿宋_GB2312" w:hAnsi="仿宋_GB2312" w:eastAsia="仿宋_GB2312"/>
          <w:shd w:val="clear" w:color="000000" w:fill="auto"/>
        </w:rPr>
      </w:pPr>
    </w:p>
    <w:p>
      <w:pPr>
        <w:wordWrap w:val="0"/>
        <w:spacing w:after="240" w:line="360" w:lineRule="auto"/>
        <w:ind w:firstLine="840"/>
        <w:jc w:val="left"/>
        <w:rPr>
          <w:rFonts w:ascii="仿宋_GB2312" w:hAnsi="仿宋_GB2312" w:eastAsia="仿宋_GB2312"/>
          <w:sz w:val="28"/>
          <w:szCs w:val="28"/>
        </w:rPr>
      </w:pPr>
      <w:bookmarkStart w:id="0" w:name="_Hlk487024833"/>
      <w:r>
        <w:rPr>
          <w:rFonts w:ascii="仿宋_GB2312" w:hAnsi="仿宋_GB2312" w:eastAsia="仿宋_GB2312"/>
          <w:sz w:val="28"/>
          <w:szCs w:val="28"/>
        </w:rPr>
        <w:t>专题课类型：__________________________________</w:t>
      </w:r>
    </w:p>
    <w:p>
      <w:pPr>
        <w:wordWrap w:val="0"/>
        <w:spacing w:after="240" w:line="360" w:lineRule="auto"/>
        <w:ind w:firstLine="840"/>
        <w:jc w:val="left"/>
        <w:rPr>
          <w:rFonts w:ascii="仿宋_GB2312" w:hAnsi="仿宋_GB2312" w:eastAsia="仿宋_GB2312"/>
          <w:sz w:val="28"/>
          <w:szCs w:val="28"/>
        </w:rPr>
      </w:pPr>
      <w:r>
        <w:rPr>
          <w:rFonts w:ascii="仿宋_GB2312" w:hAnsi="仿宋_GB2312" w:eastAsia="仿宋_GB2312"/>
          <w:sz w:val="28"/>
          <w:szCs w:val="28"/>
        </w:rPr>
        <w:t>专题课名称: ___________________________________</w:t>
      </w:r>
    </w:p>
    <w:p>
      <w:pPr>
        <w:wordWrap w:val="0"/>
        <w:spacing w:after="240" w:line="360" w:lineRule="auto"/>
        <w:ind w:left="-2" w:right="508" w:firstLine="840"/>
        <w:jc w:val="left"/>
        <w:rPr>
          <w:rFonts w:ascii="仿宋_GB2312" w:hAnsi="仿宋_GB2312" w:eastAsia="仿宋_GB2312"/>
          <w:color w:val="000000"/>
          <w:sz w:val="28"/>
          <w:szCs w:val="28"/>
          <w:u w:val="single"/>
        </w:rPr>
      </w:pPr>
      <w:r>
        <w:rPr>
          <w:rFonts w:ascii="仿宋_GB2312" w:hAnsi="仿宋_GB2312" w:eastAsia="仿宋_GB2312"/>
          <w:sz w:val="28"/>
          <w:szCs w:val="28"/>
        </w:rPr>
        <w:t>项目负责人：___________________________________</w:t>
      </w:r>
    </w:p>
    <w:p>
      <w:pPr>
        <w:wordWrap w:val="0"/>
        <w:spacing w:after="240" w:line="360" w:lineRule="auto"/>
        <w:ind w:right="508" w:firstLine="840"/>
        <w:jc w:val="left"/>
        <w:rPr>
          <w:rFonts w:ascii="仿宋_GB2312" w:hAnsi="仿宋_GB2312" w:eastAsia="仿宋_GB2312"/>
          <w:sz w:val="28"/>
          <w:szCs w:val="28"/>
        </w:rPr>
      </w:pPr>
      <w:r>
        <w:rPr>
          <w:rFonts w:ascii="仿宋_GB2312" w:hAnsi="仿宋_GB2312" w:eastAsia="仿宋_GB2312"/>
          <w:sz w:val="28"/>
          <w:szCs w:val="28"/>
        </w:rPr>
        <w:t>所在单位：_____________________________________</w:t>
      </w:r>
    </w:p>
    <w:p>
      <w:pPr>
        <w:wordWrap w:val="0"/>
        <w:spacing w:after="240" w:line="360" w:lineRule="auto"/>
        <w:ind w:firstLine="840"/>
        <w:jc w:val="left"/>
        <w:rPr>
          <w:rFonts w:ascii="仿宋_GB2312" w:hAnsi="仿宋_GB2312" w:eastAsia="仿宋_GB2312"/>
          <w:sz w:val="28"/>
          <w:szCs w:val="28"/>
        </w:rPr>
      </w:pPr>
      <w:r>
        <w:rPr>
          <w:rFonts w:ascii="仿宋_GB2312" w:hAnsi="仿宋_GB2312" w:eastAsia="仿宋_GB2312"/>
          <w:sz w:val="28"/>
          <w:szCs w:val="28"/>
        </w:rPr>
        <w:t>联系</w:t>
      </w:r>
      <w:bookmarkEnd w:id="0"/>
      <w:r>
        <w:rPr>
          <w:rFonts w:ascii="仿宋_GB2312" w:hAnsi="仿宋_GB2312" w:eastAsia="仿宋_GB2312"/>
          <w:sz w:val="28"/>
          <w:szCs w:val="28"/>
        </w:rPr>
        <w:t>电话：_____________________________________</w:t>
      </w:r>
    </w:p>
    <w:p>
      <w:pPr>
        <w:wordWrap w:val="0"/>
        <w:spacing w:after="240" w:line="360" w:lineRule="auto"/>
        <w:jc w:val="left"/>
        <w:rPr>
          <w:rFonts w:ascii="仿宋_GB2312" w:hAnsi="仿宋_GB2312" w:eastAsia="仿宋_GB2312"/>
          <w:sz w:val="28"/>
          <w:szCs w:val="28"/>
        </w:rPr>
      </w:pPr>
    </w:p>
    <w:p>
      <w:pPr>
        <w:wordWrap w:val="0"/>
        <w:spacing w:after="240" w:line="360" w:lineRule="auto"/>
        <w:jc w:val="left"/>
        <w:rPr>
          <w:rFonts w:ascii="仿宋_GB2312" w:hAnsi="仿宋_GB2312" w:eastAsia="仿宋_GB2312"/>
          <w:sz w:val="28"/>
          <w:szCs w:val="28"/>
        </w:rPr>
      </w:pPr>
    </w:p>
    <w:p>
      <w:pPr>
        <w:wordWrap w:val="0"/>
        <w:spacing w:after="240" w:line="360" w:lineRule="auto"/>
        <w:jc w:val="left"/>
        <w:rPr>
          <w:rFonts w:ascii="仿宋_GB2312" w:hAnsi="仿宋_GB2312" w:eastAsia="仿宋_GB2312"/>
          <w:sz w:val="28"/>
          <w:szCs w:val="28"/>
        </w:rPr>
      </w:pPr>
    </w:p>
    <w:p>
      <w:pPr>
        <w:wordWrap w:val="0"/>
        <w:spacing w:after="160" w:line="360" w:lineRule="auto"/>
        <w:jc w:val="center"/>
        <w:rPr>
          <w:rFonts w:ascii="仿宋_GB2312" w:hAnsi="仿宋_GB2312" w:eastAsia="仿宋_GB2312"/>
          <w:sz w:val="28"/>
          <w:szCs w:val="28"/>
        </w:rPr>
      </w:pPr>
      <w:r>
        <w:rPr>
          <w:rFonts w:ascii="仿宋_GB2312" w:hAnsi="仿宋_GB2312" w:eastAsia="仿宋_GB2312"/>
          <w:sz w:val="28"/>
          <w:szCs w:val="28"/>
        </w:rPr>
        <w:t>中国—上海合作组织国际司法交流合作培训基地 制</w:t>
      </w:r>
    </w:p>
    <w:p>
      <w:pPr>
        <w:wordWrap w:val="0"/>
        <w:spacing w:after="160" w:line="360" w:lineRule="auto"/>
        <w:jc w:val="center"/>
        <w:rPr>
          <w:rFonts w:ascii="仿宋_GB2312" w:hAnsi="仿宋_GB2312" w:eastAsia="仿宋_GB2312"/>
          <w:sz w:val="28"/>
          <w:szCs w:val="28"/>
        </w:rPr>
      </w:pPr>
      <w:r>
        <w:rPr>
          <w:rFonts w:ascii="仿宋_GB2312" w:hAnsi="仿宋_GB2312" w:eastAsia="仿宋_GB2312"/>
          <w:sz w:val="28"/>
          <w:szCs w:val="28"/>
        </w:rPr>
        <w:t>二</w:t>
      </w:r>
      <w:r>
        <w:rPr>
          <w:rFonts w:ascii="微软雅黑" w:hAnsi="微软雅黑" w:eastAsia="微软雅黑"/>
          <w:sz w:val="28"/>
          <w:szCs w:val="28"/>
        </w:rPr>
        <w:t>〇</w:t>
      </w:r>
      <w:r>
        <w:rPr>
          <w:rFonts w:ascii="仿宋_GB2312" w:hAnsi="仿宋_GB2312" w:eastAsia="仿宋_GB2312"/>
          <w:sz w:val="28"/>
          <w:szCs w:val="28"/>
        </w:rPr>
        <w:t>一</w:t>
      </w:r>
      <w:r>
        <w:rPr>
          <w:rFonts w:hint="eastAsia" w:ascii="仿宋_GB2312" w:hAnsi="仿宋_GB2312" w:eastAsia="仿宋_GB2312"/>
          <w:sz w:val="28"/>
          <w:szCs w:val="28"/>
          <w:lang w:val="en-US" w:eastAsia="zh-CN"/>
        </w:rPr>
        <w:t>九</w:t>
      </w:r>
      <w:r>
        <w:rPr>
          <w:rFonts w:ascii="仿宋_GB2312" w:hAnsi="仿宋_GB2312" w:eastAsia="仿宋_GB2312"/>
          <w:sz w:val="28"/>
          <w:szCs w:val="28"/>
        </w:rPr>
        <w:t>年</w:t>
      </w:r>
    </w:p>
    <w:p>
      <w:pPr>
        <w:wordWrap w:val="0"/>
        <w:spacing w:after="160" w:line="360" w:lineRule="auto"/>
        <w:rPr>
          <w:rFonts w:ascii="黑体" w:hAnsi="黑体" w:eastAsia="黑体"/>
          <w:sz w:val="30"/>
          <w:szCs w:val="30"/>
        </w:rPr>
      </w:pPr>
      <w:r>
        <w:br w:type="column"/>
      </w:r>
      <w:r>
        <w:rPr>
          <w:rFonts w:ascii="黑体" w:hAnsi="黑体" w:eastAsia="黑体"/>
          <w:sz w:val="30"/>
          <w:szCs w:val="30"/>
        </w:rPr>
        <w:t>一、基本情况</w:t>
      </w:r>
    </w:p>
    <w:tbl>
      <w:tblPr>
        <w:tblStyle w:val="22"/>
        <w:tblW w:w="880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08"/>
        <w:gridCol w:w="1243"/>
        <w:gridCol w:w="1414"/>
        <w:gridCol w:w="1308"/>
        <w:gridCol w:w="1396"/>
        <w:gridCol w:w="1276"/>
        <w:gridCol w:w="8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114" w:hRule="atLeast"/>
          <w:jc w:val="center"/>
        </w:trPr>
        <w:tc>
          <w:tcPr>
            <w:tcW w:w="2551" w:type="dxa"/>
            <w:gridSpan w:val="2"/>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专题课名称</w:t>
            </w:r>
          </w:p>
        </w:tc>
        <w:tc>
          <w:tcPr>
            <w:tcW w:w="6254" w:type="dxa"/>
            <w:gridSpan w:val="5"/>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 w:hRule="atLeast"/>
          <w:jc w:val="center"/>
        </w:trPr>
        <w:tc>
          <w:tcPr>
            <w:tcW w:w="1308" w:type="dxa"/>
            <w:vMerge w:val="restart"/>
            <w:shd w:val="clear" w:color="000000" w:fill="auto"/>
            <w:vAlign w:val="center"/>
          </w:tcPr>
          <w:p>
            <w:pPr>
              <w:wordWrap w:val="0"/>
              <w:spacing w:after="120"/>
              <w:ind w:right="-95"/>
              <w:jc w:val="center"/>
              <w:rPr>
                <w:rFonts w:ascii="仿宋_GB2312" w:hAnsi="仿宋_GB2312" w:eastAsia="仿宋_GB2312"/>
                <w:color w:val="000000"/>
                <w:sz w:val="24"/>
                <w:szCs w:val="24"/>
              </w:rPr>
            </w:pPr>
            <w:r>
              <w:rPr>
                <w:rFonts w:ascii="仿宋_GB2312" w:hAnsi="仿宋_GB2312" w:eastAsia="仿宋_GB2312"/>
                <w:color w:val="000000"/>
                <w:sz w:val="24"/>
                <w:szCs w:val="24"/>
              </w:rPr>
              <w:t>基本信息</w:t>
            </w:r>
          </w:p>
        </w:tc>
        <w:tc>
          <w:tcPr>
            <w:tcW w:w="1243" w:type="dxa"/>
            <w:shd w:val="clear" w:color="000000" w:fill="auto"/>
            <w:vAlign w:val="center"/>
          </w:tcPr>
          <w:p>
            <w:pPr>
              <w:wordWrap w:val="0"/>
              <w:spacing w:after="120"/>
              <w:jc w:val="center"/>
              <w:rPr>
                <w:rFonts w:ascii="仿宋_GB2312" w:hAnsi="仿宋_GB2312" w:eastAsia="仿宋_GB2312"/>
                <w:color w:val="000000"/>
                <w:sz w:val="24"/>
                <w:szCs w:val="24"/>
              </w:rPr>
            </w:pPr>
            <w:r>
              <w:rPr>
                <w:rFonts w:ascii="仿宋_GB2312" w:hAnsi="仿宋_GB2312" w:eastAsia="仿宋_GB2312"/>
                <w:color w:val="000000"/>
                <w:sz w:val="24"/>
                <w:szCs w:val="24"/>
              </w:rPr>
              <w:t>姓名</w:t>
            </w: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20"/>
              <w:ind w:left="480" w:hanging="480"/>
              <w:jc w:val="center"/>
              <w:rPr>
                <w:rFonts w:ascii="仿宋_GB2312" w:hAnsi="仿宋_GB2312" w:eastAsia="仿宋_GB2312"/>
                <w:color w:val="000000"/>
                <w:sz w:val="24"/>
                <w:szCs w:val="24"/>
              </w:rPr>
            </w:pPr>
            <w:r>
              <w:rPr>
                <w:rFonts w:ascii="仿宋_GB2312" w:hAnsi="仿宋_GB2312" w:eastAsia="仿宋_GB2312"/>
                <w:color w:val="000000"/>
                <w:sz w:val="24"/>
                <w:szCs w:val="24"/>
              </w:rPr>
              <w:t>性别</w:t>
            </w: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258"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出生年月</w:t>
            </w: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20"/>
              <w:jc w:val="center"/>
              <w:rPr>
                <w:rFonts w:ascii="仿宋_GB2312" w:hAnsi="仿宋_GB2312" w:eastAsia="仿宋_GB2312"/>
                <w:color w:val="000000"/>
                <w:sz w:val="24"/>
                <w:szCs w:val="24"/>
              </w:rPr>
            </w:pPr>
            <w:r>
              <w:rPr>
                <w:rFonts w:ascii="仿宋_GB2312" w:hAnsi="仿宋_GB2312" w:eastAsia="仿宋_GB2312"/>
                <w:color w:val="000000"/>
                <w:sz w:val="24"/>
                <w:szCs w:val="24"/>
              </w:rPr>
              <w:t>工作单位</w:t>
            </w: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20"/>
              <w:ind w:left="480" w:hanging="480"/>
              <w:jc w:val="center"/>
              <w:rPr>
                <w:rFonts w:ascii="仿宋_GB2312" w:hAnsi="仿宋_GB2312" w:eastAsia="仿宋_GB2312"/>
                <w:color w:val="000000"/>
                <w:sz w:val="24"/>
                <w:szCs w:val="24"/>
              </w:rPr>
            </w:pPr>
            <w:r>
              <w:rPr>
                <w:rFonts w:ascii="仿宋_GB2312" w:hAnsi="仿宋_GB2312" w:eastAsia="仿宋_GB2312"/>
                <w:color w:val="000000"/>
                <w:sz w:val="24"/>
                <w:szCs w:val="24"/>
              </w:rPr>
              <w:t>职称</w:t>
            </w: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20"/>
              <w:ind w:left="-258"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职务</w:t>
            </w: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1"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20"/>
              <w:jc w:val="center"/>
              <w:rPr>
                <w:rFonts w:ascii="仿宋_GB2312" w:hAnsi="仿宋_GB2312" w:eastAsia="仿宋_GB2312"/>
                <w:color w:val="000000"/>
                <w:sz w:val="24"/>
                <w:szCs w:val="24"/>
              </w:rPr>
            </w:pPr>
            <w:r>
              <w:rPr>
                <w:rFonts w:ascii="仿宋_GB2312" w:hAnsi="仿宋_GB2312" w:eastAsia="仿宋_GB2312"/>
                <w:color w:val="000000"/>
                <w:sz w:val="24"/>
                <w:szCs w:val="24"/>
              </w:rPr>
              <w:t>最终学历</w:t>
            </w: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20"/>
              <w:ind w:left="-258" w:hanging="19"/>
              <w:jc w:val="center"/>
              <w:rPr>
                <w:rFonts w:ascii="仿宋_GB2312" w:hAnsi="仿宋_GB2312" w:eastAsia="仿宋_GB2312"/>
                <w:color w:val="000000"/>
                <w:sz w:val="24"/>
                <w:szCs w:val="24"/>
              </w:rPr>
            </w:pPr>
            <w:r>
              <w:rPr>
                <w:rFonts w:ascii="仿宋_GB2312" w:hAnsi="仿宋_GB2312" w:eastAsia="仿宋_GB2312"/>
                <w:color w:val="000000"/>
                <w:sz w:val="24"/>
                <w:szCs w:val="24"/>
              </w:rPr>
              <w:t xml:space="preserve"> 研究专长</w:t>
            </w:r>
          </w:p>
        </w:tc>
        <w:tc>
          <w:tcPr>
            <w:tcW w:w="3532" w:type="dxa"/>
            <w:gridSpan w:val="3"/>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restart"/>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其他成员</w:t>
            </w:r>
          </w:p>
        </w:tc>
        <w:tc>
          <w:tcPr>
            <w:tcW w:w="1243"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姓名</w:t>
            </w:r>
          </w:p>
        </w:tc>
        <w:tc>
          <w:tcPr>
            <w:tcW w:w="1414"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出生年月</w:t>
            </w:r>
          </w:p>
        </w:tc>
        <w:tc>
          <w:tcPr>
            <w:tcW w:w="1308"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职务职称</w:t>
            </w:r>
          </w:p>
        </w:tc>
        <w:tc>
          <w:tcPr>
            <w:tcW w:w="139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所在单位</w:t>
            </w:r>
          </w:p>
        </w:tc>
        <w:tc>
          <w:tcPr>
            <w:tcW w:w="1276"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工作领域</w:t>
            </w:r>
          </w:p>
        </w:tc>
        <w:tc>
          <w:tcPr>
            <w:tcW w:w="860" w:type="dxa"/>
            <w:shd w:val="clear" w:color="000000" w:fill="auto"/>
            <w:vAlign w:val="center"/>
          </w:tcPr>
          <w:p>
            <w:pPr>
              <w:wordWrap w:val="0"/>
              <w:spacing w:after="160"/>
              <w:jc w:val="center"/>
              <w:rPr>
                <w:rFonts w:ascii="仿宋_GB2312" w:hAnsi="仿宋_GB2312" w:eastAsia="仿宋_GB2312"/>
                <w:sz w:val="24"/>
                <w:szCs w:val="24"/>
              </w:rPr>
            </w:pPr>
            <w:r>
              <w:rPr>
                <w:rFonts w:ascii="仿宋_GB2312" w:hAnsi="仿宋_GB2312" w:eastAsia="仿宋_GB2312"/>
                <w:sz w:val="24"/>
                <w:szCs w:val="24"/>
              </w:rPr>
              <w:t>承担内容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350" w:hRule="atLeast"/>
          <w:jc w:val="center"/>
        </w:trPr>
        <w:tc>
          <w:tcPr>
            <w:tcW w:w="1308" w:type="dxa"/>
            <w:vMerge w:val="continue"/>
            <w:shd w:val="clear" w:color="000000" w:fill="auto"/>
            <w:vAlign w:val="center"/>
          </w:tcPr>
          <w:p/>
        </w:tc>
        <w:tc>
          <w:tcPr>
            <w:tcW w:w="1243" w:type="dxa"/>
            <w:shd w:val="clear" w:color="000000" w:fill="auto"/>
            <w:vAlign w:val="center"/>
          </w:tcPr>
          <w:p>
            <w:pPr>
              <w:wordWrap w:val="0"/>
              <w:spacing w:after="160"/>
              <w:jc w:val="center"/>
              <w:rPr>
                <w:rFonts w:ascii="仿宋_GB2312" w:hAnsi="仿宋_GB2312" w:eastAsia="仿宋_GB2312"/>
                <w:sz w:val="24"/>
                <w:szCs w:val="24"/>
              </w:rPr>
            </w:pPr>
          </w:p>
        </w:tc>
        <w:tc>
          <w:tcPr>
            <w:tcW w:w="1414" w:type="dxa"/>
            <w:shd w:val="clear" w:color="000000" w:fill="auto"/>
            <w:vAlign w:val="center"/>
          </w:tcPr>
          <w:p>
            <w:pPr>
              <w:wordWrap w:val="0"/>
              <w:spacing w:after="160"/>
              <w:jc w:val="center"/>
              <w:rPr>
                <w:rFonts w:ascii="仿宋_GB2312" w:hAnsi="仿宋_GB2312" w:eastAsia="仿宋_GB2312"/>
                <w:sz w:val="24"/>
                <w:szCs w:val="24"/>
              </w:rPr>
            </w:pPr>
          </w:p>
        </w:tc>
        <w:tc>
          <w:tcPr>
            <w:tcW w:w="1308" w:type="dxa"/>
            <w:shd w:val="clear" w:color="000000" w:fill="auto"/>
            <w:vAlign w:val="center"/>
          </w:tcPr>
          <w:p>
            <w:pPr>
              <w:wordWrap w:val="0"/>
              <w:spacing w:after="160"/>
              <w:jc w:val="center"/>
              <w:rPr>
                <w:rFonts w:ascii="仿宋_GB2312" w:hAnsi="仿宋_GB2312" w:eastAsia="仿宋_GB2312"/>
                <w:sz w:val="24"/>
                <w:szCs w:val="24"/>
              </w:rPr>
            </w:pPr>
          </w:p>
        </w:tc>
        <w:tc>
          <w:tcPr>
            <w:tcW w:w="1396" w:type="dxa"/>
            <w:shd w:val="clear" w:color="000000" w:fill="auto"/>
            <w:vAlign w:val="center"/>
          </w:tcPr>
          <w:p>
            <w:pPr>
              <w:wordWrap w:val="0"/>
              <w:spacing w:after="160"/>
              <w:jc w:val="center"/>
              <w:rPr>
                <w:rFonts w:ascii="仿宋_GB2312" w:hAnsi="仿宋_GB2312" w:eastAsia="仿宋_GB2312"/>
                <w:sz w:val="24"/>
                <w:szCs w:val="24"/>
              </w:rPr>
            </w:pPr>
          </w:p>
        </w:tc>
        <w:tc>
          <w:tcPr>
            <w:tcW w:w="1276" w:type="dxa"/>
            <w:shd w:val="clear" w:color="000000" w:fill="auto"/>
            <w:vAlign w:val="center"/>
          </w:tcPr>
          <w:p>
            <w:pPr>
              <w:wordWrap w:val="0"/>
              <w:spacing w:after="160"/>
              <w:jc w:val="center"/>
              <w:rPr>
                <w:rFonts w:ascii="仿宋_GB2312" w:hAnsi="仿宋_GB2312" w:eastAsia="仿宋_GB2312"/>
                <w:sz w:val="24"/>
                <w:szCs w:val="24"/>
              </w:rPr>
            </w:pPr>
          </w:p>
        </w:tc>
        <w:tc>
          <w:tcPr>
            <w:tcW w:w="860" w:type="dxa"/>
            <w:shd w:val="clear" w:color="000000" w:fill="auto"/>
            <w:vAlign w:val="center"/>
          </w:tcPr>
          <w:p>
            <w:pPr>
              <w:wordWrap w:val="0"/>
              <w:spacing w:after="160"/>
              <w:jc w:val="center"/>
              <w:rPr>
                <w:rFonts w:ascii="仿宋_GB2312" w:hAnsi="仿宋_GB2312" w:eastAsia="仿宋_GB2312"/>
                <w:sz w:val="24"/>
                <w:szCs w:val="24"/>
              </w:rPr>
            </w:pPr>
          </w:p>
        </w:tc>
      </w:tr>
    </w:tbl>
    <w:p>
      <w:pPr>
        <w:wordWrap w:val="0"/>
        <w:spacing w:after="160" w:line="360" w:lineRule="auto"/>
        <w:rPr>
          <w:rFonts w:ascii="黑体" w:hAnsi="黑体" w:eastAsia="黑体"/>
          <w:sz w:val="30"/>
          <w:szCs w:val="30"/>
        </w:rPr>
      </w:pPr>
      <w:r>
        <w:rPr>
          <w:rFonts w:ascii="黑体" w:hAnsi="黑体" w:eastAsia="黑体"/>
          <w:sz w:val="30"/>
          <w:szCs w:val="30"/>
        </w:rPr>
        <w:t>二、项目内容</w:t>
      </w:r>
    </w:p>
    <w:tbl>
      <w:tblPr>
        <w:tblStyle w:val="22"/>
        <w:tblW w:w="8080"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专题课建设意义、内容与特色：</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专题课教学设计（内容包括教学目的、方法、团队、资源、重点及难点）：</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126"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预期达到教学目标和教学成果：</w:t>
            </w: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924"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项目经费预算（单位：万元）</w:t>
            </w:r>
          </w:p>
          <w:tbl>
            <w:tblPr>
              <w:tblStyle w:val="22"/>
              <w:tblW w:w="8280" w:type="dxa"/>
              <w:tblInd w:w="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09"/>
              <w:gridCol w:w="1799"/>
              <w:gridCol w:w="1418"/>
              <w:gridCol w:w="1701"/>
              <w:gridCol w:w="2268"/>
              <w:gridCol w:w="3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450" w:hRule="atLeast"/>
              </w:trPr>
              <w:tc>
                <w:tcPr>
                  <w:tcW w:w="709" w:type="dxa"/>
                  <w:shd w:val="clear" w:color="000000" w:fill="auto"/>
                </w:tcPr>
                <w:p>
                  <w:pPr>
                    <w:wordWrap w:val="0"/>
                    <w:spacing w:after="160" w:line="360" w:lineRule="auto"/>
                    <w:ind w:left="-72"/>
                    <w:jc w:val="center"/>
                    <w:rPr>
                      <w:rFonts w:ascii="仿宋_GB2312" w:hAnsi="仿宋_GB2312" w:eastAsia="仿宋_GB2312"/>
                      <w:sz w:val="24"/>
                      <w:szCs w:val="24"/>
                    </w:rPr>
                  </w:pPr>
                  <w:r>
                    <w:rPr>
                      <w:rFonts w:ascii="仿宋_GB2312" w:hAnsi="仿宋_GB2312" w:eastAsia="仿宋_GB2312"/>
                      <w:sz w:val="24"/>
                      <w:szCs w:val="24"/>
                    </w:rPr>
                    <w:t>序号</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名称</w:t>
                  </w:r>
                </w:p>
              </w:tc>
              <w:tc>
                <w:tcPr>
                  <w:tcW w:w="1418" w:type="dxa"/>
                  <w:shd w:val="clear" w:color="000000" w:fill="auto"/>
                </w:tcPr>
                <w:p>
                  <w:pPr>
                    <w:wordWrap w:val="0"/>
                    <w:spacing w:after="160" w:line="360" w:lineRule="auto"/>
                    <w:ind w:left="-76" w:firstLine="240"/>
                    <w:jc w:val="center"/>
                    <w:rPr>
                      <w:rFonts w:ascii="仿宋_GB2312" w:hAnsi="仿宋_GB2312" w:eastAsia="仿宋_GB2312"/>
                      <w:sz w:val="24"/>
                      <w:szCs w:val="24"/>
                    </w:rPr>
                  </w:pPr>
                  <w:r>
                    <w:rPr>
                      <w:rFonts w:ascii="仿宋_GB2312" w:hAnsi="仿宋_GB2312" w:eastAsia="仿宋_GB2312"/>
                      <w:sz w:val="24"/>
                      <w:szCs w:val="24"/>
                    </w:rPr>
                    <w:t>数量</w:t>
                  </w:r>
                </w:p>
              </w:tc>
              <w:tc>
                <w:tcPr>
                  <w:tcW w:w="1701" w:type="dxa"/>
                  <w:shd w:val="clear" w:color="000000" w:fill="auto"/>
                </w:tcPr>
                <w:p>
                  <w:pPr>
                    <w:wordWrap w:val="0"/>
                    <w:spacing w:after="160" w:line="360" w:lineRule="auto"/>
                    <w:ind w:left="-72"/>
                    <w:jc w:val="center"/>
                    <w:rPr>
                      <w:rFonts w:ascii="仿宋_GB2312" w:hAnsi="仿宋_GB2312" w:eastAsia="仿宋_GB2312"/>
                      <w:sz w:val="24"/>
                      <w:szCs w:val="24"/>
                    </w:rPr>
                  </w:pPr>
                  <w:r>
                    <w:rPr>
                      <w:rFonts w:ascii="仿宋_GB2312" w:hAnsi="仿宋_GB2312" w:eastAsia="仿宋_GB2312"/>
                      <w:sz w:val="24"/>
                      <w:szCs w:val="24"/>
                    </w:rPr>
                    <w:t>单价</w:t>
                  </w:r>
                </w:p>
              </w:tc>
              <w:tc>
                <w:tcPr>
                  <w:tcW w:w="2268"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333" w:hRule="atLeast"/>
              </w:trPr>
              <w:tc>
                <w:tcPr>
                  <w:tcW w:w="709" w:type="dxa"/>
                  <w:shd w:val="clear" w:color="000000" w:fill="auto"/>
                </w:tcPr>
                <w:p>
                  <w:pPr>
                    <w:wordWrap w:val="0"/>
                    <w:spacing w:after="160" w:line="360" w:lineRule="auto"/>
                    <w:ind w:left="-72"/>
                    <w:jc w:val="center"/>
                    <w:rPr>
                      <w:rFonts w:ascii="仿宋_GB2312" w:hAnsi="仿宋_GB2312" w:eastAsia="仿宋_GB2312"/>
                      <w:sz w:val="24"/>
                      <w:szCs w:val="24"/>
                    </w:rPr>
                  </w:pPr>
                  <w:r>
                    <w:rPr>
                      <w:rFonts w:ascii="仿宋_GB2312" w:hAnsi="仿宋_GB2312" w:eastAsia="仿宋_GB2312"/>
                      <w:sz w:val="24"/>
                      <w:szCs w:val="24"/>
                    </w:rPr>
                    <w:t>1</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215" w:hRule="atLeast"/>
              </w:trPr>
              <w:tc>
                <w:tcPr>
                  <w:tcW w:w="709" w:type="dxa"/>
                  <w:shd w:val="clear" w:color="000000" w:fill="auto"/>
                </w:tcPr>
                <w:p>
                  <w:pPr>
                    <w:wordWrap w:val="0"/>
                    <w:spacing w:after="160" w:line="360" w:lineRule="auto"/>
                    <w:ind w:left="-72"/>
                    <w:jc w:val="center"/>
                    <w:rPr>
                      <w:rFonts w:ascii="仿宋_GB2312" w:hAnsi="仿宋_GB2312" w:eastAsia="仿宋_GB2312"/>
                      <w:sz w:val="24"/>
                      <w:szCs w:val="24"/>
                    </w:rPr>
                  </w:pPr>
                  <w:r>
                    <w:rPr>
                      <w:rFonts w:ascii="仿宋_GB2312" w:hAnsi="仿宋_GB2312" w:eastAsia="仿宋_GB2312"/>
                      <w:sz w:val="24"/>
                      <w:szCs w:val="24"/>
                    </w:rPr>
                    <w:t>2</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371" w:hRule="atLeast"/>
              </w:trPr>
              <w:tc>
                <w:tcPr>
                  <w:tcW w:w="709" w:type="dxa"/>
                  <w:shd w:val="clear" w:color="000000" w:fill="auto"/>
                </w:tcPr>
                <w:p>
                  <w:pPr>
                    <w:wordWrap w:val="0"/>
                    <w:spacing w:after="160" w:line="360" w:lineRule="auto"/>
                    <w:ind w:left="-72"/>
                    <w:jc w:val="center"/>
                    <w:rPr>
                      <w:rFonts w:ascii="仿宋_GB2312" w:hAnsi="仿宋_GB2312" w:eastAsia="仿宋_GB2312"/>
                      <w:sz w:val="24"/>
                      <w:szCs w:val="24"/>
                    </w:rPr>
                  </w:pPr>
                  <w:r>
                    <w:rPr>
                      <w:rFonts w:ascii="仿宋_GB2312" w:hAnsi="仿宋_GB2312" w:eastAsia="仿宋_GB2312"/>
                      <w:sz w:val="24"/>
                      <w:szCs w:val="24"/>
                    </w:rPr>
                    <w:t>3</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291" w:hRule="atLeast"/>
              </w:trPr>
              <w:tc>
                <w:tcPr>
                  <w:tcW w:w="709"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4</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225" w:hRule="atLeast"/>
              </w:trPr>
              <w:tc>
                <w:tcPr>
                  <w:tcW w:w="709"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5</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159" w:hRule="atLeast"/>
              </w:trPr>
              <w:tc>
                <w:tcPr>
                  <w:tcW w:w="709"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6</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249" w:hRule="atLeast"/>
              </w:trPr>
              <w:tc>
                <w:tcPr>
                  <w:tcW w:w="709"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7</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gridAfter w:val="1"/>
                <w:wAfter w:w="385" w:type="dxa"/>
                <w:trHeight w:val="339" w:hRule="atLeast"/>
              </w:trPr>
              <w:tc>
                <w:tcPr>
                  <w:tcW w:w="709" w:type="dxa"/>
                  <w:shd w:val="clear" w:color="000000" w:fill="auto"/>
                </w:tcPr>
                <w:p>
                  <w:pPr>
                    <w:wordWrap w:val="0"/>
                    <w:spacing w:after="160" w:line="360" w:lineRule="auto"/>
                    <w:jc w:val="center"/>
                    <w:rPr>
                      <w:rFonts w:ascii="仿宋_GB2312" w:hAnsi="仿宋_GB2312" w:eastAsia="仿宋_GB2312"/>
                      <w:sz w:val="24"/>
                      <w:szCs w:val="24"/>
                    </w:rPr>
                  </w:pPr>
                  <w:r>
                    <w:rPr>
                      <w:rFonts w:ascii="仿宋_GB2312" w:hAnsi="仿宋_GB2312" w:eastAsia="仿宋_GB2312"/>
                      <w:sz w:val="24"/>
                      <w:szCs w:val="24"/>
                    </w:rPr>
                    <w:t>8</w:t>
                  </w:r>
                </w:p>
              </w:tc>
              <w:tc>
                <w:tcPr>
                  <w:tcW w:w="1799" w:type="dxa"/>
                  <w:shd w:val="clear" w:color="000000" w:fill="auto"/>
                </w:tcPr>
                <w:p>
                  <w:pPr>
                    <w:wordWrap w:val="0"/>
                    <w:spacing w:after="160" w:line="360" w:lineRule="auto"/>
                    <w:jc w:val="center"/>
                    <w:rPr>
                      <w:rFonts w:ascii="仿宋_GB2312" w:hAnsi="仿宋_GB2312" w:eastAsia="仿宋_GB2312"/>
                      <w:sz w:val="24"/>
                      <w:szCs w:val="24"/>
                    </w:rPr>
                  </w:pPr>
                </w:p>
              </w:tc>
              <w:tc>
                <w:tcPr>
                  <w:tcW w:w="1418" w:type="dxa"/>
                  <w:shd w:val="clear" w:color="000000" w:fill="auto"/>
                </w:tcPr>
                <w:p>
                  <w:pPr>
                    <w:wordWrap w:val="0"/>
                    <w:spacing w:after="160" w:line="360" w:lineRule="auto"/>
                    <w:jc w:val="center"/>
                    <w:rPr>
                      <w:rFonts w:ascii="仿宋_GB2312" w:hAnsi="仿宋_GB2312" w:eastAsia="仿宋_GB2312"/>
                      <w:sz w:val="24"/>
                      <w:szCs w:val="24"/>
                    </w:rPr>
                  </w:pPr>
                </w:p>
              </w:tc>
              <w:tc>
                <w:tcPr>
                  <w:tcW w:w="1701" w:type="dxa"/>
                  <w:shd w:val="clear" w:color="000000" w:fill="auto"/>
                </w:tcPr>
                <w:p>
                  <w:pPr>
                    <w:wordWrap w:val="0"/>
                    <w:spacing w:after="160" w:line="360" w:lineRule="auto"/>
                    <w:jc w:val="center"/>
                    <w:rPr>
                      <w:rFonts w:ascii="仿宋_GB2312" w:hAnsi="仿宋_GB2312" w:eastAsia="仿宋_GB2312"/>
                      <w:sz w:val="24"/>
                      <w:szCs w:val="24"/>
                    </w:rPr>
                  </w:pPr>
                </w:p>
              </w:tc>
              <w:tc>
                <w:tcPr>
                  <w:tcW w:w="2268" w:type="dxa"/>
                  <w:shd w:val="clear" w:color="000000" w:fill="auto"/>
                </w:tcPr>
                <w:p>
                  <w:pPr>
                    <w:wordWrap w:val="0"/>
                    <w:spacing w:after="160" w:line="360" w:lineRule="auto"/>
                    <w:jc w:val="center"/>
                    <w:rPr>
                      <w:rFonts w:ascii="仿宋_GB2312" w:hAnsi="仿宋_GB2312" w:eastAsia="仿宋_GB2312"/>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 w:hRule="atLeast"/>
              </w:trPr>
              <w:tc>
                <w:tcPr>
                  <w:tcW w:w="5627" w:type="dxa"/>
                  <w:gridSpan w:val="4"/>
                  <w:shd w:val="clear" w:color="000000" w:fill="auto"/>
                </w:tcPr>
                <w:p>
                  <w:pPr>
                    <w:spacing w:after="160" w:line="360" w:lineRule="auto"/>
                    <w:ind w:firstLine="1680"/>
                    <w:jc w:val="left"/>
                    <w:rPr>
                      <w:rFonts w:ascii="仿宋_GB2312" w:hAnsi="仿宋_GB2312" w:eastAsia="仿宋_GB2312"/>
                      <w:sz w:val="24"/>
                      <w:szCs w:val="24"/>
                    </w:rPr>
                  </w:pPr>
                  <w:r>
                    <w:rPr>
                      <w:rFonts w:ascii="仿宋_GB2312" w:hAnsi="仿宋_GB2312" w:eastAsia="仿宋_GB2312"/>
                      <w:sz w:val="24"/>
                      <w:szCs w:val="24"/>
                    </w:rPr>
                    <w:t>合计金额</w:t>
                  </w:r>
                </w:p>
              </w:tc>
              <w:tc>
                <w:tcPr>
                  <w:tcW w:w="2653" w:type="dxa"/>
                  <w:gridSpan w:val="2"/>
                  <w:shd w:val="clear" w:color="000000" w:fill="auto"/>
                </w:tcPr>
                <w:p>
                  <w:pPr>
                    <w:wordWrap w:val="0"/>
                    <w:spacing w:after="160" w:line="360" w:lineRule="auto"/>
                    <w:ind w:firstLine="1440"/>
                    <w:rPr>
                      <w:rFonts w:ascii="仿宋_GB2312" w:hAnsi="仿宋_GB2312" w:eastAsia="仿宋_GB2312"/>
                      <w:sz w:val="24"/>
                      <w:szCs w:val="24"/>
                    </w:rPr>
                  </w:pPr>
                  <w:r>
                    <w:rPr>
                      <w:rFonts w:ascii="仿宋_GB2312" w:hAnsi="仿宋_GB2312" w:eastAsia="仿宋_GB2312"/>
                      <w:sz w:val="24"/>
                      <w:szCs w:val="24"/>
                    </w:rPr>
                    <w:t>万元</w:t>
                  </w:r>
                </w:p>
              </w:tc>
            </w:tr>
          </w:tbl>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说明：1.经费预算根据申报人所在单位财务制度进行设定；不得列支招待费。2.项目经费主要使用于项目本身的差旅、交通、调研、打印、办公用品、咨询费、评审、劳务费等。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54"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color w:val="000000"/>
                <w:sz w:val="24"/>
                <w:szCs w:val="24"/>
              </w:rPr>
            </w:pPr>
            <w:r>
              <w:rPr>
                <w:rFonts w:ascii="仿宋_GB2312" w:hAnsi="仿宋_GB2312" w:eastAsia="仿宋_GB2312"/>
                <w:color w:val="000000"/>
                <w:sz w:val="24"/>
                <w:szCs w:val="24"/>
              </w:rPr>
              <w:t>申报人承诺：</w:t>
            </w:r>
          </w:p>
          <w:p>
            <w:pPr>
              <w:wordWrap w:val="0"/>
              <w:spacing w:after="160" w:line="360" w:lineRule="auto"/>
              <w:rPr>
                <w:rFonts w:ascii="仿宋_GB2312" w:hAnsi="仿宋_GB2312" w:eastAsia="仿宋_GB2312"/>
                <w:color w:val="000000"/>
                <w:sz w:val="24"/>
                <w:szCs w:val="24"/>
              </w:rPr>
            </w:pPr>
          </w:p>
          <w:p>
            <w:pPr>
              <w:wordWrap w:val="0"/>
              <w:spacing w:after="160" w:line="360" w:lineRule="auto"/>
              <w:jc w:val="center"/>
              <w:rPr>
                <w:rFonts w:ascii="仿宋_GB2312" w:hAnsi="仿宋_GB2312" w:eastAsia="仿宋_GB2312"/>
                <w:b/>
                <w:color w:val="000000"/>
                <w:sz w:val="32"/>
                <w:szCs w:val="32"/>
              </w:rPr>
            </w:pPr>
            <w:r>
              <w:rPr>
                <w:rFonts w:ascii="仿宋_GB2312" w:hAnsi="仿宋_GB2312" w:eastAsia="仿宋_GB2312"/>
                <w:b/>
                <w:color w:val="000000"/>
                <w:sz w:val="32"/>
                <w:szCs w:val="32"/>
              </w:rPr>
              <w:t>保证按要求完成项目。</w:t>
            </w:r>
          </w:p>
          <w:p>
            <w:pPr>
              <w:wordWrap w:val="0"/>
              <w:spacing w:after="160" w:line="360" w:lineRule="auto"/>
              <w:ind w:firstLine="3960"/>
              <w:rPr>
                <w:rFonts w:ascii="仿宋_GB2312" w:hAnsi="仿宋_GB2312" w:eastAsia="仿宋_GB2312"/>
                <w:color w:val="000000"/>
                <w:sz w:val="24"/>
                <w:szCs w:val="24"/>
              </w:rPr>
            </w:pPr>
          </w:p>
          <w:p>
            <w:pPr>
              <w:wordWrap w:val="0"/>
              <w:spacing w:after="160" w:line="360" w:lineRule="auto"/>
              <w:ind w:firstLine="3960"/>
              <w:rPr>
                <w:rFonts w:ascii="仿宋_GB2312" w:hAnsi="仿宋_GB2312" w:eastAsia="仿宋_GB2312"/>
                <w:color w:val="000000"/>
                <w:sz w:val="24"/>
                <w:szCs w:val="24"/>
              </w:rPr>
            </w:pPr>
            <w:r>
              <w:rPr>
                <w:rFonts w:ascii="仿宋_GB2312" w:hAnsi="仿宋_GB2312" w:eastAsia="仿宋_GB2312"/>
                <w:color w:val="000000"/>
                <w:sz w:val="24"/>
                <w:szCs w:val="24"/>
              </w:rPr>
              <w:t>申报人签字（盖章）：</w:t>
            </w:r>
          </w:p>
          <w:p>
            <w:pPr>
              <w:wordWrap w:val="0"/>
              <w:spacing w:after="160" w:line="360" w:lineRule="auto"/>
              <w:jc w:val="right"/>
              <w:rPr>
                <w:rFonts w:ascii="仿宋_GB2312" w:hAnsi="仿宋_GB2312" w:eastAsia="仿宋_GB2312"/>
                <w:color w:val="000000"/>
                <w:sz w:val="24"/>
                <w:szCs w:val="24"/>
              </w:rPr>
            </w:pPr>
          </w:p>
          <w:p>
            <w:pPr>
              <w:spacing w:after="160" w:line="360" w:lineRule="auto"/>
              <w:jc w:val="right"/>
              <w:rPr>
                <w:rFonts w:ascii="仿宋_GB2312" w:hAnsi="仿宋_GB2312" w:eastAsia="仿宋_GB2312"/>
                <w:sz w:val="24"/>
                <w:szCs w:val="24"/>
              </w:rPr>
            </w:pPr>
            <w:r>
              <w:rPr>
                <w:rFonts w:ascii="仿宋_GB2312" w:hAnsi="仿宋_GB2312" w:eastAsia="仿宋_GB2312"/>
                <w:color w:val="000000"/>
                <w:sz w:val="24"/>
                <w:szCs w:val="24"/>
              </w:rPr>
              <w:t>年   月   日</w:t>
            </w:r>
          </w:p>
        </w:tc>
      </w:tr>
    </w:tbl>
    <w:p>
      <w:pPr>
        <w:wordWrap w:val="0"/>
        <w:spacing w:after="160" w:line="360" w:lineRule="auto"/>
        <w:rPr>
          <w:rFonts w:ascii="黑体" w:hAnsi="黑体" w:eastAsia="黑体"/>
          <w:sz w:val="30"/>
          <w:szCs w:val="30"/>
        </w:rPr>
      </w:pPr>
    </w:p>
    <w:p>
      <w:pPr>
        <w:wordWrap w:val="0"/>
        <w:spacing w:after="160" w:line="360" w:lineRule="auto"/>
        <w:rPr>
          <w:rFonts w:ascii="黑体" w:hAnsi="黑体" w:eastAsia="黑体"/>
          <w:sz w:val="30"/>
          <w:szCs w:val="30"/>
        </w:rPr>
      </w:pPr>
      <w:r>
        <w:rPr>
          <w:rFonts w:ascii="黑体" w:hAnsi="黑体" w:eastAsia="黑体"/>
          <w:sz w:val="30"/>
          <w:szCs w:val="30"/>
        </w:rPr>
        <w:t>三、项目审核意见</w:t>
      </w:r>
    </w:p>
    <w:tbl>
      <w:tblPr>
        <w:tblStyle w:val="22"/>
        <w:tblW w:w="8080" w:type="dxa"/>
        <w:tblInd w:w="13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2"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专家组评审意见：</w:t>
            </w:r>
          </w:p>
          <w:p>
            <w:pPr>
              <w:wordWrap w:val="0"/>
              <w:spacing w:after="160" w:line="360" w:lineRule="auto"/>
              <w:ind w:right="210"/>
              <w:jc w:val="right"/>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　　　　　　　　　　　　             签字（盖章）：</w:t>
            </w:r>
          </w:p>
          <w:p>
            <w:pPr>
              <w:wordWrap w:val="0"/>
              <w:spacing w:after="160" w:line="360" w:lineRule="auto"/>
              <w:ind w:right="210"/>
              <w:jc w:val="right"/>
              <w:rPr>
                <w:rFonts w:ascii="仿宋_GB2312" w:hAnsi="仿宋_GB2312" w:eastAsia="仿宋_GB2312"/>
                <w:sz w:val="24"/>
                <w:szCs w:val="24"/>
              </w:rPr>
            </w:pPr>
            <w:r>
              <w:rPr>
                <w:rFonts w:ascii="仿宋_GB2312" w:hAnsi="仿宋_GB2312" w:eastAsia="仿宋_GB2312"/>
                <w:sz w:val="24"/>
                <w:szCs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12" w:hRule="atLeast"/>
        </w:trPr>
        <w:tc>
          <w:tcPr>
            <w:tcW w:w="8080" w:type="dxa"/>
            <w:tcBorders>
              <w:top w:val="single" w:color="auto" w:sz="4" w:space="0"/>
              <w:left w:val="single" w:color="auto" w:sz="4" w:space="0"/>
              <w:bottom w:val="single" w:color="auto" w:sz="4" w:space="0"/>
              <w:right w:val="single" w:color="auto" w:sz="4" w:space="0"/>
            </w:tcBorders>
            <w:shd w:val="clear" w:color="000000" w:fill="auto"/>
          </w:tcPr>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中国-上海合作组织国际司法交流合作培训基地意见：</w:t>
            </w:r>
          </w:p>
          <w:p>
            <w:pPr>
              <w:wordWrap w:val="0"/>
              <w:spacing w:after="160" w:line="360" w:lineRule="auto"/>
              <w:ind w:right="210"/>
              <w:jc w:val="right"/>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p>
          <w:p>
            <w:pPr>
              <w:wordWrap w:val="0"/>
              <w:spacing w:after="160" w:line="360" w:lineRule="auto"/>
              <w:rPr>
                <w:rFonts w:ascii="仿宋_GB2312" w:hAnsi="仿宋_GB2312" w:eastAsia="仿宋_GB2312"/>
                <w:sz w:val="24"/>
                <w:szCs w:val="24"/>
              </w:rPr>
            </w:pPr>
            <w:r>
              <w:rPr>
                <w:rFonts w:ascii="仿宋_GB2312" w:hAnsi="仿宋_GB2312" w:eastAsia="仿宋_GB2312"/>
                <w:sz w:val="24"/>
                <w:szCs w:val="24"/>
              </w:rPr>
              <w:t>　　　　　　　　　　　　             签字（盖章）：</w:t>
            </w:r>
          </w:p>
          <w:p>
            <w:pPr>
              <w:wordWrap w:val="0"/>
              <w:spacing w:after="160" w:line="360" w:lineRule="auto"/>
              <w:ind w:right="210"/>
              <w:jc w:val="right"/>
              <w:rPr>
                <w:rFonts w:ascii="仿宋_GB2312" w:hAnsi="仿宋_GB2312" w:eastAsia="仿宋_GB2312"/>
                <w:sz w:val="24"/>
                <w:szCs w:val="24"/>
              </w:rPr>
            </w:pPr>
            <w:r>
              <w:rPr>
                <w:rFonts w:ascii="仿宋_GB2312" w:hAnsi="仿宋_GB2312" w:eastAsia="仿宋_GB2312"/>
                <w:sz w:val="24"/>
                <w:szCs w:val="24"/>
              </w:rPr>
              <w:t>年　　月　　日</w:t>
            </w:r>
          </w:p>
        </w:tc>
      </w:tr>
    </w:tbl>
    <w:p>
      <w:pPr>
        <w:snapToGrid w:val="0"/>
        <w:spacing w:line="360" w:lineRule="auto"/>
        <w:jc w:val="right"/>
        <w:rPr>
          <w:rFonts w:ascii="仿宋" w:hAnsi="仿宋" w:eastAsia="仿宋"/>
          <w:sz w:val="30"/>
          <w:szCs w:val="30"/>
        </w:rPr>
      </w:pPr>
    </w:p>
    <w:p>
      <w:pPr>
        <w:spacing w:after="160"/>
        <w:rPr>
          <w:rFonts w:hAnsi="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multilevel"/>
    <w:tmpl w:val="2F000000"/>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1">
    <w:nsid w:val="2F000001"/>
    <w:multiLevelType w:val="multilevel"/>
    <w:tmpl w:val="2F000001"/>
    <w:lvl w:ilvl="0" w:tentative="0">
      <w:start w:val="1"/>
      <w:numFmt w:val="decimal"/>
      <w:suff w:val="nothing"/>
      <w:lvlText w:val="%1、"/>
      <w:lvlJc w:val="left"/>
    </w:lvl>
    <w:lvl w:ilvl="1" w:tentative="0">
      <w:start w:val="1"/>
      <w:numFmt w:val="decimal"/>
      <w:suff w:val="nothing"/>
      <w:lvlText w:val="%1、"/>
      <w:lvlJc w:val="left"/>
    </w:lvl>
    <w:lvl w:ilvl="2" w:tentative="0">
      <w:start w:val="1"/>
      <w:numFmt w:val="decimal"/>
      <w:suff w:val="nothing"/>
      <w:lvlText w:val="%1、"/>
      <w:lvlJc w:val="left"/>
    </w:lvl>
    <w:lvl w:ilvl="3" w:tentative="0">
      <w:start w:val="1"/>
      <w:numFmt w:val="decimal"/>
      <w:suff w:val="nothing"/>
      <w:lvlText w:val="%1、"/>
      <w:lvlJc w:val="left"/>
    </w:lvl>
    <w:lvl w:ilvl="4" w:tentative="0">
      <w:start w:val="1"/>
      <w:numFmt w:val="decimal"/>
      <w:suff w:val="nothing"/>
      <w:lvlText w:val="%1、"/>
      <w:lvlJc w:val="left"/>
    </w:lvl>
    <w:lvl w:ilvl="5" w:tentative="0">
      <w:start w:val="1"/>
      <w:numFmt w:val="decimal"/>
      <w:suff w:val="nothing"/>
      <w:lvlText w:val="%1、"/>
      <w:lvlJc w:val="left"/>
    </w:lvl>
    <w:lvl w:ilvl="6" w:tentative="0">
      <w:start w:val="1"/>
      <w:numFmt w:val="decimal"/>
      <w:suff w:val="nothing"/>
      <w:lvlText w:val="%1、"/>
      <w:lvlJc w:val="left"/>
    </w:lvl>
    <w:lvl w:ilvl="7" w:tentative="0">
      <w:start w:val="1"/>
      <w:numFmt w:val="decimal"/>
      <w:suff w:val="nothing"/>
      <w:lvlText w:val="%1、"/>
      <w:lvlJc w:val="left"/>
    </w:lvl>
    <w:lvl w:ilvl="8" w:tentative="0">
      <w:start w:val="1"/>
      <w:numFmt w:val="decimal"/>
      <w:suff w:val="nothing"/>
      <w:lvlText w:val="%1、"/>
      <w:lvlJc w:val="left"/>
    </w:lvl>
  </w:abstractNum>
  <w:abstractNum w:abstractNumId="2">
    <w:nsid w:val="2F000002"/>
    <w:multiLevelType w:val="multilevel"/>
    <w:tmpl w:val="2F000002"/>
    <w:lvl w:ilvl="0" w:tentative="0">
      <w:start w:val="2"/>
      <w:numFmt w:val="decimal"/>
      <w:suff w:val="nothing"/>
      <w:lvlText w:val="%1、"/>
      <w:lvlJc w:val="left"/>
      <w:rPr>
        <w:w w:val="100"/>
        <w:sz w:val="20"/>
        <w:szCs w:val="20"/>
        <w:shd w:val="clear" w:color="auto" w:fill="auto"/>
      </w:rPr>
    </w:lvl>
    <w:lvl w:ilvl="1" w:tentative="0">
      <w:start w:val="2"/>
      <w:numFmt w:val="decimal"/>
      <w:suff w:val="nothing"/>
      <w:lvlText w:val="%1、"/>
      <w:lvlJc w:val="left"/>
      <w:rPr>
        <w:w w:val="100"/>
        <w:sz w:val="20"/>
        <w:szCs w:val="20"/>
        <w:shd w:val="clear" w:color="auto" w:fill="auto"/>
      </w:rPr>
    </w:lvl>
    <w:lvl w:ilvl="2" w:tentative="0">
      <w:start w:val="2"/>
      <w:numFmt w:val="decimal"/>
      <w:suff w:val="nothing"/>
      <w:lvlText w:val="%1、"/>
      <w:lvlJc w:val="left"/>
      <w:rPr>
        <w:w w:val="100"/>
        <w:sz w:val="20"/>
        <w:szCs w:val="20"/>
        <w:shd w:val="clear" w:color="auto" w:fill="auto"/>
      </w:rPr>
    </w:lvl>
    <w:lvl w:ilvl="3" w:tentative="0">
      <w:start w:val="2"/>
      <w:numFmt w:val="decimal"/>
      <w:suff w:val="nothing"/>
      <w:lvlText w:val="%1、"/>
      <w:lvlJc w:val="left"/>
      <w:rPr>
        <w:w w:val="100"/>
        <w:sz w:val="20"/>
        <w:szCs w:val="20"/>
        <w:shd w:val="clear" w:color="auto" w:fill="auto"/>
      </w:rPr>
    </w:lvl>
    <w:lvl w:ilvl="4" w:tentative="0">
      <w:start w:val="2"/>
      <w:numFmt w:val="decimal"/>
      <w:suff w:val="nothing"/>
      <w:lvlText w:val="%1、"/>
      <w:lvlJc w:val="left"/>
      <w:rPr>
        <w:w w:val="100"/>
        <w:sz w:val="20"/>
        <w:szCs w:val="20"/>
        <w:shd w:val="clear" w:color="auto" w:fill="auto"/>
      </w:rPr>
    </w:lvl>
    <w:lvl w:ilvl="5" w:tentative="0">
      <w:start w:val="2"/>
      <w:numFmt w:val="decimal"/>
      <w:suff w:val="nothing"/>
      <w:lvlText w:val="%1、"/>
      <w:lvlJc w:val="left"/>
      <w:rPr>
        <w:w w:val="100"/>
        <w:sz w:val="20"/>
        <w:szCs w:val="20"/>
        <w:shd w:val="clear" w:color="auto" w:fill="auto"/>
      </w:rPr>
    </w:lvl>
    <w:lvl w:ilvl="6" w:tentative="0">
      <w:start w:val="2"/>
      <w:numFmt w:val="decimal"/>
      <w:suff w:val="nothing"/>
      <w:lvlText w:val="%1、"/>
      <w:lvlJc w:val="left"/>
      <w:rPr>
        <w:w w:val="100"/>
        <w:sz w:val="20"/>
        <w:szCs w:val="20"/>
        <w:shd w:val="clear" w:color="auto" w:fill="auto"/>
      </w:rPr>
    </w:lvl>
    <w:lvl w:ilvl="7" w:tentative="0">
      <w:start w:val="2"/>
      <w:numFmt w:val="decimal"/>
      <w:suff w:val="nothing"/>
      <w:lvlText w:val="%1、"/>
      <w:lvlJc w:val="left"/>
      <w:rPr>
        <w:w w:val="100"/>
        <w:sz w:val="20"/>
        <w:szCs w:val="20"/>
        <w:shd w:val="clear" w:color="auto" w:fill="auto"/>
      </w:rPr>
    </w:lvl>
    <w:lvl w:ilvl="8" w:tentative="0">
      <w:start w:val="2"/>
      <w:numFmt w:val="decimal"/>
      <w:suff w:val="nothing"/>
      <w:lvlText w:val="%1、"/>
      <w:lvlJc w:val="left"/>
      <w:rPr>
        <w:w w:val="100"/>
        <w:sz w:val="20"/>
        <w:szCs w:val="20"/>
        <w:shd w:val="clear" w:color="auto" w:fill="auto"/>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56768C"/>
    <w:rsid w:val="0056768C"/>
    <w:rsid w:val="005D7111"/>
    <w:rsid w:val="09D649DE"/>
    <w:rsid w:val="2556393C"/>
    <w:rsid w:val="35725CD3"/>
    <w:rsid w:val="38F31C2B"/>
    <w:rsid w:val="4D370AF8"/>
    <w:rsid w:val="4FA6142A"/>
    <w:rsid w:val="5CCD2DB0"/>
    <w:rsid w:val="5E621F01"/>
    <w:rsid w:val="6458251F"/>
    <w:rsid w:val="6C295375"/>
    <w:rsid w:val="6D3E548F"/>
  </w:rsids>
  <m:mathPr>
    <m:mathFont m:val="Cambria Math"/>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6"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6"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0" w:semiHidden="0" w:name="Strong"/>
    <w:lsdException w:qFormat="1" w:unhideWhenUsed="0" w:uiPriority="18"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宋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宋体"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宋体"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宋体"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宋体"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宋体"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宋体"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宋体"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宋体"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宋体" w:cs="Times New Roman"/>
      <w:sz w:val="21"/>
      <w:szCs w:val="21"/>
      <w:lang w:val="en-US" w:eastAsia="zh-CN" w:bidi="ar-SA"/>
    </w:rPr>
  </w:style>
  <w:style w:type="character" w:default="1" w:styleId="23">
    <w:name w:val="Default Paragraph Font"/>
    <w:semiHidden/>
    <w:unhideWhenUsed/>
    <w:qFormat/>
    <w:uiPriority w:val="1"/>
  </w:style>
  <w:style w:type="table" w:default="1" w:styleId="22">
    <w:name w:val="Normal Table"/>
    <w:semiHidden/>
    <w:unhideWhenUsed/>
    <w:uiPriority w:val="99"/>
    <w:tblPr>
      <w:tblLayout w:type="fixed"/>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宋体" w:cs="Times New Roman"/>
      <w:sz w:val="21"/>
      <w:szCs w:val="21"/>
      <w:lang w:val="en-US" w:eastAsia="zh-CN" w:bidi="ar-SA"/>
    </w:rPr>
  </w:style>
  <w:style w:type="paragraph" w:styleId="12">
    <w:name w:val="toc 5"/>
    <w:next w:val="1"/>
    <w:unhideWhenUsed/>
    <w:qFormat/>
    <w:uiPriority w:val="32"/>
    <w:pPr>
      <w:ind w:left="1700"/>
      <w:jc w:val="both"/>
    </w:pPr>
    <w:rPr>
      <w:rFonts w:ascii="Times New Roman" w:hAnsi="Times New Roman" w:eastAsia="宋体" w:cs="Times New Roman"/>
      <w:sz w:val="21"/>
      <w:szCs w:val="21"/>
      <w:lang w:val="en-US" w:eastAsia="zh-CN" w:bidi="ar-SA"/>
    </w:rPr>
  </w:style>
  <w:style w:type="paragraph" w:styleId="13">
    <w:name w:val="toc 3"/>
    <w:next w:val="1"/>
    <w:unhideWhenUsed/>
    <w:qFormat/>
    <w:uiPriority w:val="30"/>
    <w:pPr>
      <w:ind w:left="850"/>
      <w:jc w:val="both"/>
    </w:pPr>
    <w:rPr>
      <w:rFonts w:ascii="Times New Roman" w:hAnsi="Times New Roman" w:eastAsia="宋体" w:cs="Times New Roman"/>
      <w:sz w:val="21"/>
      <w:szCs w:val="21"/>
      <w:lang w:val="en-US" w:eastAsia="zh-CN" w:bidi="ar-SA"/>
    </w:rPr>
  </w:style>
  <w:style w:type="paragraph" w:styleId="14">
    <w:name w:val="toc 8"/>
    <w:next w:val="1"/>
    <w:unhideWhenUsed/>
    <w:qFormat/>
    <w:uiPriority w:val="35"/>
    <w:pPr>
      <w:ind w:left="2975"/>
      <w:jc w:val="both"/>
    </w:pPr>
    <w:rPr>
      <w:rFonts w:ascii="Times New Roman" w:hAnsi="Times New Roman" w:eastAsia="宋体" w:cs="Times New Roman"/>
      <w:sz w:val="21"/>
      <w:szCs w:val="21"/>
      <w:lang w:val="en-US" w:eastAsia="zh-CN" w:bidi="ar-SA"/>
    </w:rPr>
  </w:style>
  <w:style w:type="paragraph" w:styleId="15">
    <w:name w:val="toc 1"/>
    <w:next w:val="1"/>
    <w:unhideWhenUsed/>
    <w:qFormat/>
    <w:uiPriority w:val="28"/>
    <w:pPr>
      <w:jc w:val="both"/>
    </w:pPr>
    <w:rPr>
      <w:rFonts w:ascii="Times New Roman" w:hAnsi="Times New Roman" w:eastAsia="宋体" w:cs="Times New Roman"/>
      <w:sz w:val="21"/>
      <w:szCs w:val="21"/>
      <w:lang w:val="en-US" w:eastAsia="zh-CN" w:bidi="ar-SA"/>
    </w:rPr>
  </w:style>
  <w:style w:type="paragraph" w:styleId="16">
    <w:name w:val="toc 4"/>
    <w:next w:val="1"/>
    <w:unhideWhenUsed/>
    <w:qFormat/>
    <w:uiPriority w:val="31"/>
    <w:pPr>
      <w:ind w:left="1275"/>
      <w:jc w:val="both"/>
    </w:pPr>
    <w:rPr>
      <w:rFonts w:ascii="Times New Roman" w:hAnsi="Times New Roman" w:eastAsia="宋体" w:cs="Times New Roman"/>
      <w:sz w:val="21"/>
      <w:szCs w:val="21"/>
      <w:lang w:val="en-US" w:eastAsia="zh-CN" w:bidi="ar-SA"/>
    </w:rPr>
  </w:style>
  <w:style w:type="paragraph" w:styleId="17">
    <w:name w:val="Subtitle"/>
    <w:qFormat/>
    <w:uiPriority w:val="16"/>
    <w:pPr>
      <w:jc w:val="center"/>
    </w:pPr>
    <w:rPr>
      <w:rFonts w:ascii="Times New Roman" w:hAnsi="Times New Roman" w:eastAsia="宋体" w:cs="Times New Roman"/>
      <w:sz w:val="24"/>
      <w:szCs w:val="24"/>
      <w:lang w:val="en-US" w:eastAsia="zh-CN" w:bidi="ar-SA"/>
    </w:rPr>
  </w:style>
  <w:style w:type="paragraph" w:styleId="18">
    <w:name w:val="toc 6"/>
    <w:next w:val="1"/>
    <w:unhideWhenUsed/>
    <w:qFormat/>
    <w:uiPriority w:val="33"/>
    <w:pPr>
      <w:ind w:left="2125"/>
      <w:jc w:val="both"/>
    </w:pPr>
    <w:rPr>
      <w:rFonts w:ascii="Times New Roman" w:hAnsi="Times New Roman" w:eastAsia="宋体" w:cs="Times New Roman"/>
      <w:sz w:val="21"/>
      <w:szCs w:val="21"/>
      <w:lang w:val="en-US" w:eastAsia="zh-CN" w:bidi="ar-SA"/>
    </w:rPr>
  </w:style>
  <w:style w:type="paragraph" w:styleId="19">
    <w:name w:val="toc 2"/>
    <w:next w:val="1"/>
    <w:unhideWhenUsed/>
    <w:qFormat/>
    <w:uiPriority w:val="29"/>
    <w:pPr>
      <w:ind w:left="425"/>
      <w:jc w:val="both"/>
    </w:pPr>
    <w:rPr>
      <w:rFonts w:ascii="Times New Roman" w:hAnsi="Times New Roman" w:eastAsia="宋体" w:cs="Times New Roman"/>
      <w:sz w:val="21"/>
      <w:szCs w:val="21"/>
      <w:lang w:val="en-US" w:eastAsia="zh-CN" w:bidi="ar-SA"/>
    </w:rPr>
  </w:style>
  <w:style w:type="paragraph" w:styleId="20">
    <w:name w:val="toc 9"/>
    <w:next w:val="1"/>
    <w:unhideWhenUsed/>
    <w:qFormat/>
    <w:uiPriority w:val="36"/>
    <w:pPr>
      <w:ind w:left="3400"/>
      <w:jc w:val="both"/>
    </w:pPr>
    <w:rPr>
      <w:rFonts w:ascii="Times New Roman" w:hAnsi="Times New Roman" w:eastAsia="宋体" w:cs="Times New Roman"/>
      <w:sz w:val="21"/>
      <w:szCs w:val="21"/>
      <w:lang w:val="en-US" w:eastAsia="zh-CN" w:bidi="ar-SA"/>
    </w:rPr>
  </w:style>
  <w:style w:type="paragraph" w:styleId="21">
    <w:name w:val="Title"/>
    <w:qFormat/>
    <w:uiPriority w:val="6"/>
    <w:pPr>
      <w:jc w:val="center"/>
    </w:pPr>
    <w:rPr>
      <w:rFonts w:ascii="Times New Roman" w:hAnsi="Times New Roman" w:eastAsia="宋体" w:cs="Times New Roman"/>
      <w:b/>
      <w:sz w:val="32"/>
      <w:szCs w:val="32"/>
      <w:lang w:val="en-US" w:eastAsia="zh-CN" w:bidi="ar-SA"/>
    </w:rPr>
  </w:style>
  <w:style w:type="character" w:styleId="24">
    <w:name w:val="Strong"/>
    <w:qFormat/>
    <w:uiPriority w:val="20"/>
    <w:rPr>
      <w:b/>
      <w:w w:val="100"/>
      <w:sz w:val="21"/>
      <w:szCs w:val="21"/>
      <w:shd w:val="clear" w:color="auto" w:fill="auto"/>
    </w:rPr>
  </w:style>
  <w:style w:type="character" w:styleId="25">
    <w:name w:val="Emphasis"/>
    <w:qFormat/>
    <w:uiPriority w:val="18"/>
    <w:rPr>
      <w:i/>
      <w:w w:val="100"/>
      <w:sz w:val="21"/>
      <w:szCs w:val="21"/>
      <w:shd w:val="clear" w:color="auto" w:fill="auto"/>
    </w:rPr>
  </w:style>
  <w:style w:type="paragraph" w:styleId="26">
    <w:name w:val="No Spacing"/>
    <w:qFormat/>
    <w:uiPriority w:val="5"/>
    <w:pPr>
      <w:jc w:val="both"/>
    </w:pPr>
    <w:rPr>
      <w:rFonts w:ascii="Times New Roman" w:hAnsi="Times New Roman" w:eastAsia="宋体" w:cs="Times New Roman"/>
      <w:sz w:val="21"/>
      <w:szCs w:val="21"/>
      <w:lang w:val="en-US" w:eastAsia="zh-CN" w:bidi="ar-SA"/>
    </w:rPr>
  </w:style>
  <w:style w:type="character" w:customStyle="1" w:styleId="27">
    <w:name w:val="Subtle Emphasis"/>
    <w:qFormat/>
    <w:uiPriority w:val="17"/>
    <w:rPr>
      <w:i/>
      <w:color w:val="404040"/>
      <w:w w:val="100"/>
      <w:sz w:val="21"/>
      <w:szCs w:val="21"/>
      <w:shd w:val="clear" w:color="auto" w:fill="auto"/>
    </w:rPr>
  </w:style>
  <w:style w:type="character" w:customStyle="1" w:styleId="28">
    <w:name w:val="Intense Emphasis"/>
    <w:qFormat/>
    <w:uiPriority w:val="19"/>
    <w:rPr>
      <w:i/>
      <w:color w:val="5B9BD5"/>
      <w:w w:val="100"/>
      <w:sz w:val="21"/>
      <w:szCs w:val="21"/>
      <w:shd w:val="clear" w:color="auto" w:fill="auto"/>
    </w:rPr>
  </w:style>
  <w:style w:type="paragraph" w:styleId="29">
    <w:name w:val="Quote"/>
    <w:qFormat/>
    <w:uiPriority w:val="21"/>
    <w:pPr>
      <w:ind w:left="864" w:right="864"/>
      <w:jc w:val="center"/>
    </w:pPr>
    <w:rPr>
      <w:rFonts w:ascii="Times New Roman" w:hAnsi="Times New Roman" w:eastAsia="宋体" w:cs="Times New Roman"/>
      <w:i/>
      <w:color w:val="404040"/>
      <w:sz w:val="21"/>
      <w:szCs w:val="21"/>
      <w:lang w:val="en-US" w:eastAsia="zh-CN" w:bidi="ar-SA"/>
    </w:rPr>
  </w:style>
  <w:style w:type="paragraph" w:styleId="30">
    <w:name w:val="Intense Quote"/>
    <w:qFormat/>
    <w:uiPriority w:val="22"/>
    <w:pPr>
      <w:ind w:left="950" w:right="950"/>
      <w:jc w:val="center"/>
    </w:pPr>
    <w:rPr>
      <w:rFonts w:ascii="Times New Roman" w:hAnsi="Times New Roman" w:eastAsia="宋体" w:cs="Times New Roman"/>
      <w:i/>
      <w:color w:val="5B9BD5"/>
      <w:sz w:val="21"/>
      <w:szCs w:val="21"/>
      <w:lang w:val="en-US" w:eastAsia="zh-CN" w:bidi="ar-SA"/>
    </w:rPr>
  </w:style>
  <w:style w:type="character" w:customStyle="1" w:styleId="31">
    <w:name w:val="Subtle Reference"/>
    <w:qFormat/>
    <w:uiPriority w:val="23"/>
    <w:rPr>
      <w:smallCaps/>
      <w:color w:val="5A5A5A"/>
      <w:w w:val="100"/>
      <w:sz w:val="21"/>
      <w:szCs w:val="21"/>
      <w:shd w:val="clear" w:color="auto" w:fill="auto"/>
    </w:rPr>
  </w:style>
  <w:style w:type="character" w:customStyle="1" w:styleId="32">
    <w:name w:val="Intense Reference"/>
    <w:qFormat/>
    <w:uiPriority w:val="24"/>
    <w:rPr>
      <w:b/>
      <w:smallCaps/>
      <w:color w:val="5B9BD5"/>
      <w:w w:val="100"/>
      <w:sz w:val="21"/>
      <w:szCs w:val="21"/>
      <w:shd w:val="clear" w:color="auto" w:fill="auto"/>
    </w:rPr>
  </w:style>
  <w:style w:type="character" w:customStyle="1" w:styleId="33">
    <w:name w:val="Book Title"/>
    <w:qFormat/>
    <w:uiPriority w:val="25"/>
    <w:rPr>
      <w:b/>
      <w:i/>
      <w:w w:val="100"/>
      <w:sz w:val="21"/>
      <w:szCs w:val="21"/>
      <w:shd w:val="clear" w:color="auto" w:fill="auto"/>
    </w:rPr>
  </w:style>
  <w:style w:type="paragraph" w:styleId="34">
    <w:name w:val="List Paragraph"/>
    <w:basedOn w:val="1"/>
    <w:qFormat/>
    <w:uiPriority w:val="26"/>
    <w:pPr>
      <w:ind w:left="850"/>
    </w:pPr>
    <w:rPr>
      <w:rFonts w:ascii="Cambria" w:hAnsi="Cambria"/>
    </w:rPr>
  </w:style>
  <w:style w:type="paragraph" w:customStyle="1" w:styleId="35">
    <w:name w:val="TOC Heading"/>
    <w:unhideWhenUsed/>
    <w:qFormat/>
    <w:uiPriority w:val="27"/>
    <w:rPr>
      <w:rFonts w:ascii="Times New Roman" w:hAnsi="Times New Roman" w:eastAsia="宋体" w:cs="Times New Roman"/>
      <w:color w:val="2E74B5"/>
      <w:sz w:val="32"/>
      <w:szCs w:val="3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572</Words>
  <Characters>3261</Characters>
  <Lines>27</Lines>
  <Paragraphs>7</Paragraphs>
  <TotalTime>69</TotalTime>
  <ScaleCrop>false</ScaleCrop>
  <LinksUpToDate>false</LinksUpToDate>
  <CharactersWithSpaces>3826</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2018-08-27T08:07:00Z</dcterms:created>
  <dc:creator>小杨咩咩</dc:creator>
  <cp:lastModifiedBy>小杨咩咩</cp:lastModifiedBy>
  <cp:lastPrinted>2019-06-27T07:04:00Z</cp:lastPrinted>
  <dcterms:modified xsi:type="dcterms:W3CDTF">2019-07-24T08:41:55Z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