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F15A4" w:rsidRDefault="006F15A4" w:rsidP="006F15A4">
      <w:pPr>
        <w:spacing w:after="185" w:line="265" w:lineRule="auto"/>
        <w:ind w:left="10" w:hanging="10"/>
        <w:jc w:val="center"/>
      </w:pPr>
      <w:r>
        <w:rPr>
          <w:rFonts w:ascii="华文中宋" w:eastAsia="华文中宋" w:hAnsi="华文中宋" w:cs="华文中宋"/>
          <w:sz w:val="35"/>
        </w:rPr>
        <w:t>上海政法学院新闻与传播专业硕士研究生校外导师选聘暂行办法</w:t>
      </w:r>
    </w:p>
    <w:p w:rsidR="006F15A4" w:rsidRDefault="006F15A4" w:rsidP="006F15A4">
      <w:pPr>
        <w:spacing w:after="180" w:line="367" w:lineRule="auto"/>
        <w:ind w:left="125" w:firstLineChars="200" w:firstLine="620"/>
      </w:pPr>
      <w:r>
        <w:rPr>
          <w:rFonts w:ascii="仿宋" w:eastAsia="仿宋" w:hAnsi="仿宋" w:cs="仿宋"/>
          <w:sz w:val="31"/>
        </w:rPr>
        <w:t>硕士研究生指导教师担负着培养硕士研究生的重任。为适应新闻与传播专业硕士研究生教育的需要，建设一支高质量的新闻与传播专业硕士研究生校外导师队伍，保证新闻与传播专业硕士研究生培养质量，根据《教育部关于做好全日制专业学位研究生培养工作的若干意见》和《上海政法学院硕士研究生导师管理办法》，结合专业实际情况，制定本办法。</w:t>
      </w:r>
    </w:p>
    <w:p w:rsidR="006F15A4" w:rsidRDefault="006F15A4" w:rsidP="006F15A4">
      <w:pPr>
        <w:spacing w:after="342"/>
        <w:ind w:left="207" w:right="413" w:hanging="10"/>
        <w:jc w:val="center"/>
      </w:pPr>
      <w:r>
        <w:rPr>
          <w:rFonts w:ascii="仿宋" w:eastAsia="仿宋" w:hAnsi="仿宋" w:cs="仿宋"/>
          <w:sz w:val="31"/>
        </w:rPr>
        <w:t>第一章选聘原则</w:t>
      </w:r>
    </w:p>
    <w:p w:rsidR="006F15A4" w:rsidRDefault="006F15A4" w:rsidP="006F15A4">
      <w:pPr>
        <w:spacing w:after="180" w:line="367" w:lineRule="auto"/>
        <w:ind w:left="124"/>
      </w:pPr>
      <w:r>
        <w:rPr>
          <w:rFonts w:ascii="仿宋" w:eastAsia="仿宋" w:hAnsi="仿宋" w:cs="仿宋"/>
          <w:sz w:val="31"/>
        </w:rPr>
        <w:t>第一条新闻与传播专业硕士研究生校外导师选聘遵循以下基本原则：</w:t>
      </w:r>
    </w:p>
    <w:p w:rsidR="006F15A4" w:rsidRDefault="006F15A4" w:rsidP="006F15A4">
      <w:pPr>
        <w:numPr>
          <w:ilvl w:val="0"/>
          <w:numId w:val="1"/>
        </w:numPr>
        <w:spacing w:after="180" w:line="367" w:lineRule="auto"/>
      </w:pPr>
      <w:r>
        <w:rPr>
          <w:rFonts w:ascii="仿宋" w:eastAsia="仿宋" w:hAnsi="仿宋" w:cs="仿宋"/>
          <w:sz w:val="31"/>
        </w:rPr>
        <w:t>选聘新闻与传播专业硕士研究生校外导师必须坚持公平、公正、公开的原则；</w:t>
      </w:r>
    </w:p>
    <w:p w:rsidR="006F15A4" w:rsidRDefault="006F15A4" w:rsidP="006F15A4">
      <w:pPr>
        <w:numPr>
          <w:ilvl w:val="0"/>
          <w:numId w:val="1"/>
        </w:numPr>
        <w:spacing w:after="180" w:line="367" w:lineRule="auto"/>
      </w:pPr>
      <w:r>
        <w:rPr>
          <w:rFonts w:ascii="仿宋" w:eastAsia="仿宋" w:hAnsi="仿宋" w:cs="仿宋"/>
          <w:sz w:val="31"/>
        </w:rPr>
        <w:t>选聘新闻与传播专业硕士研究生校外导师要有利于保证和提高新闻与传播专业硕士研究生的培养质量，有利于提升新闻与传播专业硕士研究生的应用实践能力；</w:t>
      </w:r>
    </w:p>
    <w:p w:rsidR="006F15A4" w:rsidRDefault="006F15A4" w:rsidP="006F15A4">
      <w:pPr>
        <w:numPr>
          <w:ilvl w:val="0"/>
          <w:numId w:val="1"/>
        </w:numPr>
        <w:spacing w:after="180" w:line="367" w:lineRule="auto"/>
      </w:pPr>
      <w:r>
        <w:rPr>
          <w:rFonts w:ascii="仿宋" w:eastAsia="仿宋" w:hAnsi="仿宋" w:cs="仿宋"/>
          <w:sz w:val="31"/>
        </w:rPr>
        <w:t>注重遴选业务素质高、实践能力强的实务部门骨干担任新闻与传播专业硕士研究生校外导师。</w:t>
      </w:r>
    </w:p>
    <w:p w:rsidR="006F15A4" w:rsidRDefault="006F15A4" w:rsidP="006F15A4">
      <w:pPr>
        <w:spacing w:after="342"/>
        <w:ind w:left="207" w:right="413" w:hanging="10"/>
        <w:jc w:val="center"/>
      </w:pPr>
      <w:r>
        <w:rPr>
          <w:rFonts w:ascii="仿宋" w:eastAsia="仿宋" w:hAnsi="仿宋" w:cs="仿宋"/>
          <w:sz w:val="31"/>
        </w:rPr>
        <w:t>第二章导师构成</w:t>
      </w:r>
    </w:p>
    <w:p w:rsidR="006F15A4" w:rsidRDefault="006F15A4" w:rsidP="006F15A4">
      <w:pPr>
        <w:spacing w:after="0" w:line="366" w:lineRule="auto"/>
        <w:ind w:left="207" w:right="197" w:hanging="10"/>
        <w:jc w:val="center"/>
      </w:pPr>
      <w:r>
        <w:rPr>
          <w:rFonts w:ascii="仿宋" w:eastAsia="仿宋" w:hAnsi="仿宋" w:cs="仿宋"/>
          <w:sz w:val="31"/>
        </w:rPr>
        <w:lastRenderedPageBreak/>
        <w:t>第二条我校新闻与传播专业硕士研究生培养实行双导师制。本办法为新闻与传播专业硕士研究生校外导师选聘暂行办法</w:t>
      </w:r>
    </w:p>
    <w:p w:rsidR="006F15A4" w:rsidRDefault="006F15A4" w:rsidP="006F15A4">
      <w:pPr>
        <w:spacing w:after="180" w:line="367" w:lineRule="auto"/>
        <w:ind w:left="124"/>
      </w:pPr>
      <w:r>
        <w:rPr>
          <w:rFonts w:ascii="仿宋" w:eastAsia="仿宋" w:hAnsi="仿宋" w:cs="仿宋"/>
          <w:sz w:val="31"/>
        </w:rPr>
        <w:t>。第三条在校新闻与传播专业学生与校外导师的比例应符合国家新闻与传播专业硕士教学指导委员会要求。</w:t>
      </w:r>
    </w:p>
    <w:p w:rsidR="006F15A4" w:rsidRDefault="006F15A4" w:rsidP="006F15A4">
      <w:pPr>
        <w:spacing w:after="342"/>
        <w:ind w:left="207" w:right="413" w:hanging="10"/>
        <w:jc w:val="center"/>
      </w:pPr>
      <w:r>
        <w:rPr>
          <w:rFonts w:ascii="仿宋" w:eastAsia="仿宋" w:hAnsi="仿宋" w:cs="仿宋"/>
          <w:sz w:val="31"/>
        </w:rPr>
        <w:t>第三章聘任条件</w:t>
      </w:r>
    </w:p>
    <w:p w:rsidR="006F15A4" w:rsidRDefault="006F15A4" w:rsidP="006F15A4">
      <w:pPr>
        <w:spacing w:after="158"/>
        <w:ind w:left="124"/>
      </w:pPr>
      <w:r>
        <w:rPr>
          <w:rFonts w:ascii="仿宋" w:eastAsia="仿宋" w:hAnsi="仿宋" w:cs="仿宋"/>
          <w:sz w:val="31"/>
        </w:rPr>
        <w:t>第四条新闻与传播专业硕士研究生校外导师应具备下列条件</w:t>
      </w:r>
    </w:p>
    <w:p w:rsidR="006F15A4" w:rsidRDefault="006F15A4" w:rsidP="006F15A4">
      <w:pPr>
        <w:spacing w:after="340"/>
        <w:ind w:left="124"/>
      </w:pPr>
      <w:r>
        <w:rPr>
          <w:rFonts w:ascii="仿宋" w:eastAsia="仿宋" w:hAnsi="仿宋" w:cs="仿宋"/>
          <w:sz w:val="31"/>
        </w:rPr>
        <w:t>：</w:t>
      </w:r>
    </w:p>
    <w:p w:rsidR="006F15A4" w:rsidRDefault="006F15A4" w:rsidP="006F15A4">
      <w:pPr>
        <w:numPr>
          <w:ilvl w:val="0"/>
          <w:numId w:val="2"/>
        </w:numPr>
        <w:spacing w:after="180" w:line="367" w:lineRule="auto"/>
      </w:pPr>
      <w:r>
        <w:rPr>
          <w:rFonts w:ascii="仿宋" w:eastAsia="仿宋" w:hAnsi="仿宋" w:cs="仿宋"/>
          <w:sz w:val="31"/>
        </w:rPr>
        <w:t>拥护党的基本路线，遵纪守法，作风正派，无违背职业伦理的行为；</w:t>
      </w:r>
    </w:p>
    <w:p w:rsidR="006F15A4" w:rsidRDefault="006F15A4" w:rsidP="006F15A4">
      <w:pPr>
        <w:numPr>
          <w:ilvl w:val="0"/>
          <w:numId w:val="2"/>
        </w:numPr>
        <w:spacing w:after="180" w:line="367" w:lineRule="auto"/>
      </w:pPr>
      <w:r>
        <w:rPr>
          <w:rFonts w:ascii="仿宋" w:eastAsia="仿宋" w:hAnsi="仿宋" w:cs="仿宋"/>
          <w:sz w:val="31"/>
        </w:rPr>
        <w:t>身体健康，在聘任期间能够承担并完成新闻与传播专业生的培养工作，原则上年龄在60岁以下。</w:t>
      </w:r>
    </w:p>
    <w:p w:rsidR="006F15A4" w:rsidRDefault="006F15A4" w:rsidP="006F15A4">
      <w:pPr>
        <w:numPr>
          <w:ilvl w:val="0"/>
          <w:numId w:val="2"/>
        </w:numPr>
        <w:spacing w:after="180" w:line="367" w:lineRule="auto"/>
      </w:pPr>
      <w:r>
        <w:rPr>
          <w:rFonts w:ascii="仿宋" w:eastAsia="仿宋" w:hAnsi="仿宋" w:cs="仿宋"/>
          <w:sz w:val="31"/>
        </w:rPr>
        <w:t>受过新闻与传播专业教育，一般应获得教育部承认的普通高等教育序列硕士学位(实务界知名人士或卓有成就者不受此条件限制)，能够与校内导师合作开设实务或前沿课程，合作指导研究生开展实习实践、调研报告、和学位论文撰写；</w:t>
      </w:r>
    </w:p>
    <w:p w:rsidR="006F15A4" w:rsidRDefault="006F15A4" w:rsidP="006F15A4">
      <w:pPr>
        <w:numPr>
          <w:ilvl w:val="0"/>
          <w:numId w:val="2"/>
        </w:numPr>
        <w:spacing w:after="2" w:line="365" w:lineRule="auto"/>
      </w:pPr>
      <w:r>
        <w:rPr>
          <w:rFonts w:ascii="仿宋" w:eastAsia="仿宋" w:hAnsi="仿宋" w:cs="仿宋"/>
          <w:sz w:val="31"/>
        </w:rPr>
        <w:t>所从事实务工作的主要业务方向属于我校当年确定列入招收培养新闻与传播专业硕士研究生计划主修方向的学科</w:t>
      </w:r>
    </w:p>
    <w:p w:rsidR="006F15A4" w:rsidRDefault="006F15A4" w:rsidP="006F15A4">
      <w:pPr>
        <w:spacing w:after="343"/>
        <w:ind w:left="124"/>
      </w:pPr>
      <w:r>
        <w:rPr>
          <w:rFonts w:ascii="仿宋" w:eastAsia="仿宋" w:hAnsi="仿宋" w:cs="仿宋"/>
          <w:sz w:val="31"/>
        </w:rPr>
        <w:t>、专业领域；</w:t>
      </w:r>
    </w:p>
    <w:p w:rsidR="006F15A4" w:rsidRDefault="006F15A4" w:rsidP="006F15A4">
      <w:pPr>
        <w:numPr>
          <w:ilvl w:val="0"/>
          <w:numId w:val="2"/>
        </w:numPr>
        <w:spacing w:after="180" w:line="367" w:lineRule="auto"/>
      </w:pPr>
      <w:r>
        <w:rPr>
          <w:rFonts w:ascii="仿宋" w:eastAsia="仿宋" w:hAnsi="仿宋" w:cs="仿宋"/>
          <w:sz w:val="31"/>
        </w:rPr>
        <w:lastRenderedPageBreak/>
        <w:t>在新闻与传播领域具有较丰富的实践经验，必须取得新闻与传播领域职业资格证书，且工作业绩突出。在政府部门、企事业单位、媒体领域等社会各界从事相关工作且具有一定影响的知名人士或卓有成就者，可优先聘任。</w:t>
      </w:r>
    </w:p>
    <w:p w:rsidR="006F15A4" w:rsidRDefault="006F15A4" w:rsidP="006F15A4">
      <w:pPr>
        <w:spacing w:after="185" w:line="365" w:lineRule="auto"/>
        <w:ind w:left="207" w:right="413" w:hanging="10"/>
        <w:jc w:val="center"/>
      </w:pPr>
      <w:r>
        <w:rPr>
          <w:rFonts w:ascii="仿宋" w:eastAsia="仿宋" w:hAnsi="仿宋" w:cs="仿宋"/>
          <w:sz w:val="31"/>
        </w:rPr>
        <w:t>第四章选聘程序第五条新闻与传播专业硕士研究生校外指导教师的选聘遵循以下程序：</w:t>
      </w:r>
    </w:p>
    <w:p w:rsidR="006F15A4" w:rsidRDefault="006F15A4" w:rsidP="006F15A4">
      <w:pPr>
        <w:numPr>
          <w:ilvl w:val="0"/>
          <w:numId w:val="3"/>
        </w:numPr>
        <w:spacing w:after="180" w:line="367" w:lineRule="auto"/>
      </w:pPr>
      <w:r>
        <w:rPr>
          <w:rFonts w:ascii="仿宋" w:eastAsia="仿宋" w:hAnsi="仿宋" w:cs="仿宋"/>
          <w:sz w:val="31"/>
        </w:rPr>
        <w:t>经新闻与传播专业硕士研究生各主修方向校内导师组推荐，并由学院学科组会议进行初审；</w:t>
      </w:r>
    </w:p>
    <w:p w:rsidR="006F15A4" w:rsidRDefault="006F15A4" w:rsidP="006F15A4">
      <w:pPr>
        <w:numPr>
          <w:ilvl w:val="0"/>
          <w:numId w:val="3"/>
        </w:numPr>
        <w:spacing w:after="180" w:line="367" w:lineRule="auto"/>
      </w:pPr>
      <w:r>
        <w:rPr>
          <w:rFonts w:ascii="仿宋" w:eastAsia="仿宋" w:hAnsi="仿宋" w:cs="仿宋"/>
          <w:sz w:val="31"/>
        </w:rPr>
        <w:t>申请人填写《上海政法学院专业学位硕士研究生校外导师申请表》，并提交遴选条件所规定的材料；</w:t>
      </w:r>
    </w:p>
    <w:p w:rsidR="006F15A4" w:rsidRDefault="006F15A4" w:rsidP="006F15A4">
      <w:pPr>
        <w:numPr>
          <w:ilvl w:val="0"/>
          <w:numId w:val="3"/>
        </w:numPr>
        <w:spacing w:after="180" w:line="367" w:lineRule="auto"/>
      </w:pPr>
      <w:r>
        <w:rPr>
          <w:rFonts w:ascii="仿宋" w:eastAsia="仿宋" w:hAnsi="仿宋" w:cs="仿宋"/>
          <w:sz w:val="31"/>
        </w:rPr>
        <w:t>学院学科组会议将申请人的申报材料汇总并提交新闻与传播专业硕士点审议、表决；</w:t>
      </w:r>
    </w:p>
    <w:p w:rsidR="006F15A4" w:rsidRDefault="006F15A4" w:rsidP="006F15A4">
      <w:pPr>
        <w:numPr>
          <w:ilvl w:val="0"/>
          <w:numId w:val="3"/>
        </w:numPr>
        <w:spacing w:after="180" w:line="367" w:lineRule="auto"/>
      </w:pPr>
      <w:r>
        <w:rPr>
          <w:rFonts w:ascii="仿宋" w:eastAsia="仿宋" w:hAnsi="仿宋" w:cs="仿宋"/>
          <w:sz w:val="31"/>
        </w:rPr>
        <w:t>获得新闻与传播专业硕士研究生校外指导教师资格者，由学校任聘任担任新闻与传播专业研究生校外导师，聘期为3年。获聘的新闻与传播专业硕士研究生校外指导教师，与所属主修方向的校内导师合作培养新闻与传播专业硕士研究生。</w:t>
      </w:r>
    </w:p>
    <w:p w:rsidR="006F15A4" w:rsidRDefault="006F15A4" w:rsidP="006F15A4">
      <w:pPr>
        <w:spacing w:after="180" w:line="367" w:lineRule="auto"/>
        <w:ind w:left="124"/>
      </w:pPr>
      <w:r>
        <w:rPr>
          <w:rFonts w:ascii="仿宋" w:eastAsia="仿宋" w:hAnsi="仿宋" w:cs="仿宋"/>
          <w:sz w:val="31"/>
        </w:rPr>
        <w:t>第六条每位申请人原则上只能在一个主修方向参加遴选，最多不超过两个主修方向。</w:t>
      </w:r>
    </w:p>
    <w:p w:rsidR="006F15A4" w:rsidRDefault="006F15A4" w:rsidP="006F15A4">
      <w:pPr>
        <w:spacing w:after="342"/>
        <w:ind w:left="207" w:right="415" w:hanging="10"/>
        <w:jc w:val="center"/>
      </w:pPr>
      <w:r>
        <w:rPr>
          <w:rFonts w:ascii="仿宋" w:eastAsia="仿宋" w:hAnsi="仿宋" w:cs="仿宋"/>
          <w:sz w:val="31"/>
        </w:rPr>
        <w:t>第五章校外导师职责</w:t>
      </w:r>
    </w:p>
    <w:p w:rsidR="006F15A4" w:rsidRDefault="006F15A4" w:rsidP="006F15A4">
      <w:pPr>
        <w:spacing w:after="340"/>
        <w:ind w:left="124"/>
      </w:pPr>
      <w:r>
        <w:rPr>
          <w:rFonts w:ascii="仿宋" w:eastAsia="仿宋" w:hAnsi="仿宋" w:cs="仿宋"/>
          <w:sz w:val="31"/>
        </w:rPr>
        <w:lastRenderedPageBreak/>
        <w:t>第七条硕士生校外导师应履行以下职责：</w:t>
      </w:r>
    </w:p>
    <w:p w:rsidR="006F15A4" w:rsidRDefault="006F15A4" w:rsidP="006F15A4">
      <w:pPr>
        <w:numPr>
          <w:ilvl w:val="0"/>
          <w:numId w:val="4"/>
        </w:numPr>
        <w:spacing w:after="189" w:line="363" w:lineRule="auto"/>
      </w:pPr>
      <w:r>
        <w:rPr>
          <w:rFonts w:ascii="仿宋" w:eastAsia="仿宋" w:hAnsi="仿宋" w:cs="仿宋"/>
          <w:sz w:val="31"/>
        </w:rPr>
        <w:t>明确导师对研究生政治思想、成长状况等方面的监督指导职责，贯彻党和国家的教育方针，关心硕士研究生的成长，定期与学生沟通，深入了解情况，引导硕士研究生树立严谨的治学态度和崇高的敬业精神。导师应协助做好研究生入学教育、学术道德教育、职业规划教育、毕业教育，尤其是对参与校外学术交流、科研、实习实践等活动的研究生，进行必要的安全与法制教育。</w:t>
      </w:r>
    </w:p>
    <w:p w:rsidR="006F15A4" w:rsidRDefault="006F15A4" w:rsidP="006F15A4">
      <w:pPr>
        <w:numPr>
          <w:ilvl w:val="0"/>
          <w:numId w:val="4"/>
        </w:numPr>
        <w:spacing w:after="180" w:line="367" w:lineRule="auto"/>
      </w:pPr>
      <w:r>
        <w:rPr>
          <w:rFonts w:ascii="仿宋" w:eastAsia="仿宋" w:hAnsi="仿宋" w:cs="仿宋"/>
          <w:sz w:val="31"/>
        </w:rPr>
        <w:t>承担硕士研究生的实习督导工作，校内导师与校外导师共同指导。新闻与传播专业硕士研究生专业实习必须在上海纪录片学院实习指导委员会认定的实习基地或本市相关媒体部门中完成。这些机构或部门由上海纪录片学院实习指导委员会审定其能够理解实习的要求，且能为实习生提供实务操作的机会，能提供合格的实习督导，并能指导学生在实践中学习。</w:t>
      </w:r>
    </w:p>
    <w:p w:rsidR="006F15A4" w:rsidRDefault="006F15A4" w:rsidP="006F15A4">
      <w:pPr>
        <w:numPr>
          <w:ilvl w:val="0"/>
          <w:numId w:val="4"/>
        </w:numPr>
        <w:spacing w:after="180" w:line="367" w:lineRule="auto"/>
      </w:pPr>
      <w:r>
        <w:rPr>
          <w:rFonts w:ascii="仿宋" w:eastAsia="仿宋" w:hAnsi="仿宋" w:cs="仿宋"/>
          <w:sz w:val="31"/>
        </w:rPr>
        <w:t>研究、总结硕士研究生教育和学位工作的规律和经验，提出改进意见和建议，完善培养措施和方法，保证硕士研究生教育和学位工作质量；</w:t>
      </w:r>
    </w:p>
    <w:p w:rsidR="006F15A4" w:rsidRDefault="006F15A4" w:rsidP="006F15A4">
      <w:pPr>
        <w:numPr>
          <w:ilvl w:val="0"/>
          <w:numId w:val="4"/>
        </w:numPr>
        <w:spacing w:after="343"/>
      </w:pPr>
      <w:r>
        <w:rPr>
          <w:rFonts w:ascii="仿宋" w:eastAsia="仿宋" w:hAnsi="仿宋" w:cs="仿宋"/>
          <w:sz w:val="31"/>
        </w:rPr>
        <w:t>履行国家和学校规定的其他职责。</w:t>
      </w:r>
    </w:p>
    <w:p w:rsidR="006F15A4" w:rsidRDefault="006F15A4" w:rsidP="006F15A4">
      <w:pPr>
        <w:spacing w:after="342"/>
        <w:ind w:left="207" w:right="417" w:hanging="10"/>
        <w:jc w:val="center"/>
      </w:pPr>
      <w:r>
        <w:rPr>
          <w:rFonts w:ascii="仿宋" w:eastAsia="仿宋" w:hAnsi="仿宋" w:cs="仿宋"/>
          <w:sz w:val="31"/>
        </w:rPr>
        <w:t>第六章其他</w:t>
      </w:r>
    </w:p>
    <w:p w:rsidR="006F15A4" w:rsidRDefault="006F15A4" w:rsidP="006F15A4">
      <w:pPr>
        <w:spacing w:after="180" w:line="367" w:lineRule="auto"/>
        <w:ind w:left="124"/>
      </w:pPr>
      <w:r>
        <w:rPr>
          <w:rFonts w:ascii="仿宋" w:eastAsia="仿宋" w:hAnsi="仿宋" w:cs="仿宋"/>
          <w:sz w:val="31"/>
        </w:rPr>
        <w:lastRenderedPageBreak/>
        <w:t>第八条新闻与传播专业硕士研究生校外导师聘期为3年，聘期内表现优良者，经本人申报、导师组推荐，可以续聘。</w:t>
      </w:r>
    </w:p>
    <w:p w:rsidR="006F15A4" w:rsidRDefault="006F15A4" w:rsidP="006F15A4">
      <w:pPr>
        <w:spacing w:after="180" w:line="367" w:lineRule="auto"/>
        <w:ind w:left="124"/>
      </w:pPr>
      <w:r>
        <w:rPr>
          <w:rFonts w:ascii="仿宋" w:eastAsia="仿宋" w:hAnsi="仿宋" w:cs="仿宋"/>
          <w:sz w:val="31"/>
        </w:rPr>
        <w:t>新闻与传播专业硕士研究生校外导师续聘，需向学院学科组提交选聘条件所规定的材料，交由新闻与传播专业硕士点审核，通过后备案。</w:t>
      </w:r>
    </w:p>
    <w:p w:rsidR="006F15A4" w:rsidRDefault="006F15A4" w:rsidP="006F15A4">
      <w:pPr>
        <w:spacing w:after="180" w:line="367" w:lineRule="auto"/>
        <w:ind w:left="124"/>
      </w:pPr>
      <w:r>
        <w:rPr>
          <w:rFonts w:ascii="仿宋" w:eastAsia="仿宋" w:hAnsi="仿宋" w:cs="仿宋"/>
          <w:sz w:val="31"/>
        </w:rPr>
        <w:t>第九条新闻与传播专业硕士研究生校外导师的管理、考核和培训等事项另行制定管理办法。</w:t>
      </w:r>
    </w:p>
    <w:p w:rsidR="006F15A4" w:rsidRDefault="006F15A4" w:rsidP="006F15A4">
      <w:pPr>
        <w:spacing w:after="180" w:line="367" w:lineRule="auto"/>
        <w:ind w:left="124"/>
      </w:pPr>
      <w:r>
        <w:rPr>
          <w:rFonts w:ascii="仿宋" w:eastAsia="仿宋" w:hAnsi="仿宋" w:cs="仿宋"/>
          <w:sz w:val="31"/>
        </w:rPr>
        <w:t>第十条本办法由研究生处负责解释，二级学院可据此制定相应的实施细则。</w:t>
      </w:r>
    </w:p>
    <w:p w:rsidR="00004CD1" w:rsidRDefault="006F15A4" w:rsidP="006F15A4">
      <w:r>
        <w:rPr>
          <w:rFonts w:ascii="仿宋" w:eastAsia="仿宋" w:hAnsi="仿宋" w:cs="仿宋"/>
          <w:sz w:val="31"/>
        </w:rPr>
        <w:t>第十一条本办法自2019年3月1日起施行。</w:t>
      </w:r>
    </w:p>
    <w:sectPr w:rsidR="00004CD1" w:rsidSect="006E0B37">
      <w:pgSz w:w="11900" w:h="16840"/>
      <w:pgMar w:top="1440" w:right="1800" w:bottom="1440" w:left="1800" w:header="851" w:footer="992" w:gutter="0"/>
      <w:cols w:space="425"/>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仿宋">
    <w:altName w:val="FangSong"/>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华文中宋">
    <w:altName w:val="STZhongsong"/>
    <w:panose1 w:val="02010600040101010101"/>
    <w:charset w:val="86"/>
    <w:family w:val="auto"/>
    <w:pitch w:val="variable"/>
    <w:sig w:usb0="00000287" w:usb1="080F0000" w:usb2="00000010" w:usb3="00000000" w:csb0="0004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25ECB"/>
    <w:multiLevelType w:val="hybridMultilevel"/>
    <w:tmpl w:val="AC8AA8C8"/>
    <w:lvl w:ilvl="0" w:tplc="771605D6">
      <w:start w:val="1"/>
      <w:numFmt w:val="ideographDigital"/>
      <w:lvlText w:val="（%1）"/>
      <w:lvlJc w:val="left"/>
      <w:pPr>
        <w:ind w:left="124"/>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lvl w:ilvl="1" w:tplc="494097E4">
      <w:start w:val="1"/>
      <w:numFmt w:val="lowerLetter"/>
      <w:lvlText w:val="%2"/>
      <w:lvlJc w:val="left"/>
      <w:pPr>
        <w:ind w:left="1080"/>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lvl w:ilvl="2" w:tplc="8B1051A2">
      <w:start w:val="1"/>
      <w:numFmt w:val="lowerRoman"/>
      <w:lvlText w:val="%3"/>
      <w:lvlJc w:val="left"/>
      <w:pPr>
        <w:ind w:left="1800"/>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lvl w:ilvl="3" w:tplc="08AAD548">
      <w:start w:val="1"/>
      <w:numFmt w:val="decimal"/>
      <w:lvlText w:val="%4"/>
      <w:lvlJc w:val="left"/>
      <w:pPr>
        <w:ind w:left="2520"/>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lvl w:ilvl="4" w:tplc="E5161C5A">
      <w:start w:val="1"/>
      <w:numFmt w:val="lowerLetter"/>
      <w:lvlText w:val="%5"/>
      <w:lvlJc w:val="left"/>
      <w:pPr>
        <w:ind w:left="3240"/>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lvl w:ilvl="5" w:tplc="25C20112">
      <w:start w:val="1"/>
      <w:numFmt w:val="lowerRoman"/>
      <w:lvlText w:val="%6"/>
      <w:lvlJc w:val="left"/>
      <w:pPr>
        <w:ind w:left="3960"/>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lvl w:ilvl="6" w:tplc="6F00AD7C">
      <w:start w:val="1"/>
      <w:numFmt w:val="decimal"/>
      <w:lvlText w:val="%7"/>
      <w:lvlJc w:val="left"/>
      <w:pPr>
        <w:ind w:left="4680"/>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lvl w:ilvl="7" w:tplc="E7484FEC">
      <w:start w:val="1"/>
      <w:numFmt w:val="lowerLetter"/>
      <w:lvlText w:val="%8"/>
      <w:lvlJc w:val="left"/>
      <w:pPr>
        <w:ind w:left="5400"/>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lvl w:ilvl="8" w:tplc="9336EA0E">
      <w:start w:val="1"/>
      <w:numFmt w:val="lowerRoman"/>
      <w:lvlText w:val="%9"/>
      <w:lvlJc w:val="left"/>
      <w:pPr>
        <w:ind w:left="6120"/>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abstractNum>
  <w:abstractNum w:abstractNumId="1" w15:restartNumberingAfterBreak="0">
    <w:nsid w:val="2E872B9C"/>
    <w:multiLevelType w:val="hybridMultilevel"/>
    <w:tmpl w:val="63A2C02C"/>
    <w:lvl w:ilvl="0" w:tplc="E94A51F0">
      <w:start w:val="1"/>
      <w:numFmt w:val="ideographDigital"/>
      <w:lvlText w:val="（%1）"/>
      <w:lvlJc w:val="left"/>
      <w:pPr>
        <w:ind w:left="124"/>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lvl w:ilvl="1" w:tplc="FEC6BBF2">
      <w:start w:val="1"/>
      <w:numFmt w:val="lowerLetter"/>
      <w:lvlText w:val="%2"/>
      <w:lvlJc w:val="left"/>
      <w:pPr>
        <w:ind w:left="1080"/>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lvl w:ilvl="2" w:tplc="CB7CFD7A">
      <w:start w:val="1"/>
      <w:numFmt w:val="lowerRoman"/>
      <w:lvlText w:val="%3"/>
      <w:lvlJc w:val="left"/>
      <w:pPr>
        <w:ind w:left="1800"/>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lvl w:ilvl="3" w:tplc="B9C64FFC">
      <w:start w:val="1"/>
      <w:numFmt w:val="decimal"/>
      <w:lvlText w:val="%4"/>
      <w:lvlJc w:val="left"/>
      <w:pPr>
        <w:ind w:left="2520"/>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lvl w:ilvl="4" w:tplc="EF0657E8">
      <w:start w:val="1"/>
      <w:numFmt w:val="lowerLetter"/>
      <w:lvlText w:val="%5"/>
      <w:lvlJc w:val="left"/>
      <w:pPr>
        <w:ind w:left="3240"/>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lvl w:ilvl="5" w:tplc="C1B85FA6">
      <w:start w:val="1"/>
      <w:numFmt w:val="lowerRoman"/>
      <w:lvlText w:val="%6"/>
      <w:lvlJc w:val="left"/>
      <w:pPr>
        <w:ind w:left="3960"/>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lvl w:ilvl="6" w:tplc="DABCF176">
      <w:start w:val="1"/>
      <w:numFmt w:val="decimal"/>
      <w:lvlText w:val="%7"/>
      <w:lvlJc w:val="left"/>
      <w:pPr>
        <w:ind w:left="4680"/>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lvl w:ilvl="7" w:tplc="E4C4D0CE">
      <w:start w:val="1"/>
      <w:numFmt w:val="lowerLetter"/>
      <w:lvlText w:val="%8"/>
      <w:lvlJc w:val="left"/>
      <w:pPr>
        <w:ind w:left="5400"/>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lvl w:ilvl="8" w:tplc="F262604E">
      <w:start w:val="1"/>
      <w:numFmt w:val="lowerRoman"/>
      <w:lvlText w:val="%9"/>
      <w:lvlJc w:val="left"/>
      <w:pPr>
        <w:ind w:left="6120"/>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abstractNum>
  <w:abstractNum w:abstractNumId="2" w15:restartNumberingAfterBreak="0">
    <w:nsid w:val="71FC1D9D"/>
    <w:multiLevelType w:val="hybridMultilevel"/>
    <w:tmpl w:val="9372FC92"/>
    <w:lvl w:ilvl="0" w:tplc="13947124">
      <w:start w:val="1"/>
      <w:numFmt w:val="ideographDigital"/>
      <w:lvlText w:val="（%1）"/>
      <w:lvlJc w:val="left"/>
      <w:pPr>
        <w:ind w:left="124"/>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lvl w:ilvl="1" w:tplc="CCD0C1C2">
      <w:start w:val="1"/>
      <w:numFmt w:val="lowerLetter"/>
      <w:lvlText w:val="%2"/>
      <w:lvlJc w:val="left"/>
      <w:pPr>
        <w:ind w:left="1080"/>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lvl w:ilvl="2" w:tplc="C68A2AF4">
      <w:start w:val="1"/>
      <w:numFmt w:val="lowerRoman"/>
      <w:lvlText w:val="%3"/>
      <w:lvlJc w:val="left"/>
      <w:pPr>
        <w:ind w:left="1800"/>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lvl w:ilvl="3" w:tplc="2884BF38">
      <w:start w:val="1"/>
      <w:numFmt w:val="decimal"/>
      <w:lvlText w:val="%4"/>
      <w:lvlJc w:val="left"/>
      <w:pPr>
        <w:ind w:left="2520"/>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lvl w:ilvl="4" w:tplc="76923100">
      <w:start w:val="1"/>
      <w:numFmt w:val="lowerLetter"/>
      <w:lvlText w:val="%5"/>
      <w:lvlJc w:val="left"/>
      <w:pPr>
        <w:ind w:left="3240"/>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lvl w:ilvl="5" w:tplc="5468995A">
      <w:start w:val="1"/>
      <w:numFmt w:val="lowerRoman"/>
      <w:lvlText w:val="%6"/>
      <w:lvlJc w:val="left"/>
      <w:pPr>
        <w:ind w:left="3960"/>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lvl w:ilvl="6" w:tplc="8CFAEC62">
      <w:start w:val="1"/>
      <w:numFmt w:val="decimal"/>
      <w:lvlText w:val="%7"/>
      <w:lvlJc w:val="left"/>
      <w:pPr>
        <w:ind w:left="4680"/>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lvl w:ilvl="7" w:tplc="2CB2325E">
      <w:start w:val="1"/>
      <w:numFmt w:val="lowerLetter"/>
      <w:lvlText w:val="%8"/>
      <w:lvlJc w:val="left"/>
      <w:pPr>
        <w:ind w:left="5400"/>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lvl w:ilvl="8" w:tplc="96D02CB8">
      <w:start w:val="1"/>
      <w:numFmt w:val="lowerRoman"/>
      <w:lvlText w:val="%9"/>
      <w:lvlJc w:val="left"/>
      <w:pPr>
        <w:ind w:left="6120"/>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abstractNum>
  <w:abstractNum w:abstractNumId="3" w15:restartNumberingAfterBreak="0">
    <w:nsid w:val="7EFE2DAD"/>
    <w:multiLevelType w:val="hybridMultilevel"/>
    <w:tmpl w:val="EA60ED42"/>
    <w:lvl w:ilvl="0" w:tplc="A1B64B06">
      <w:start w:val="1"/>
      <w:numFmt w:val="ideographDigital"/>
      <w:lvlText w:val="（%1）"/>
      <w:lvlJc w:val="left"/>
      <w:pPr>
        <w:ind w:left="124"/>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lvl w:ilvl="1" w:tplc="B7944978">
      <w:start w:val="1"/>
      <w:numFmt w:val="lowerLetter"/>
      <w:lvlText w:val="%2"/>
      <w:lvlJc w:val="left"/>
      <w:pPr>
        <w:ind w:left="1080"/>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lvl w:ilvl="2" w:tplc="EAF0B41E">
      <w:start w:val="1"/>
      <w:numFmt w:val="lowerRoman"/>
      <w:lvlText w:val="%3"/>
      <w:lvlJc w:val="left"/>
      <w:pPr>
        <w:ind w:left="1800"/>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lvl w:ilvl="3" w:tplc="672EBDF8">
      <w:start w:val="1"/>
      <w:numFmt w:val="decimal"/>
      <w:lvlText w:val="%4"/>
      <w:lvlJc w:val="left"/>
      <w:pPr>
        <w:ind w:left="2520"/>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lvl w:ilvl="4" w:tplc="5ADAC8BC">
      <w:start w:val="1"/>
      <w:numFmt w:val="lowerLetter"/>
      <w:lvlText w:val="%5"/>
      <w:lvlJc w:val="left"/>
      <w:pPr>
        <w:ind w:left="3240"/>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lvl w:ilvl="5" w:tplc="485C50A4">
      <w:start w:val="1"/>
      <w:numFmt w:val="lowerRoman"/>
      <w:lvlText w:val="%6"/>
      <w:lvlJc w:val="left"/>
      <w:pPr>
        <w:ind w:left="3960"/>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lvl w:ilvl="6" w:tplc="2BB06D04">
      <w:start w:val="1"/>
      <w:numFmt w:val="decimal"/>
      <w:lvlText w:val="%7"/>
      <w:lvlJc w:val="left"/>
      <w:pPr>
        <w:ind w:left="4680"/>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lvl w:ilvl="7" w:tplc="951AAE06">
      <w:start w:val="1"/>
      <w:numFmt w:val="lowerLetter"/>
      <w:lvlText w:val="%8"/>
      <w:lvlJc w:val="left"/>
      <w:pPr>
        <w:ind w:left="5400"/>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lvl w:ilvl="8" w:tplc="AD2CE926">
      <w:start w:val="1"/>
      <w:numFmt w:val="lowerRoman"/>
      <w:lvlText w:val="%9"/>
      <w:lvlJc w:val="left"/>
      <w:pPr>
        <w:ind w:left="6120"/>
      </w:pPr>
      <w:rPr>
        <w:rFonts w:ascii="仿宋" w:eastAsia="仿宋" w:hAnsi="仿宋" w:cs="仿宋"/>
        <w:b w:val="0"/>
        <w:i w:val="0"/>
        <w:strike w:val="0"/>
        <w:dstrike w:val="0"/>
        <w:color w:val="000000"/>
        <w:sz w:val="31"/>
        <w:szCs w:val="31"/>
        <w:u w:val="none" w:color="000000"/>
        <w:bdr w:val="none" w:sz="0" w:space="0" w:color="auto"/>
        <w:shd w:val="clear" w:color="auto" w:fill="auto"/>
        <w:vertAlign w:val="baseline"/>
      </w:rPr>
    </w:lvl>
  </w:abstractNum>
  <w:num w:numId="1" w16cid:durableId="279730166">
    <w:abstractNumId w:val="2"/>
  </w:num>
  <w:num w:numId="2" w16cid:durableId="20133567">
    <w:abstractNumId w:val="0"/>
  </w:num>
  <w:num w:numId="3" w16cid:durableId="271397548">
    <w:abstractNumId w:val="3"/>
  </w:num>
  <w:num w:numId="4" w16cid:durableId="848837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mirrorMargins/>
  <w:bordersDoNotSurroundHeader/>
  <w:bordersDoNotSurroundFooter/>
  <w:proofState w:spelling="clean" w:grammar="clean"/>
  <w:defaultTabStop w:val="420"/>
  <w:evenAndOddHeaders/>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5A4"/>
    <w:rsid w:val="00004CD1"/>
    <w:rsid w:val="001158F9"/>
    <w:rsid w:val="006E0B37"/>
    <w:rsid w:val="006F15A4"/>
    <w:rsid w:val="007675DE"/>
    <w:rsid w:val="00C90212"/>
    <w:rsid w:val="00D81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E0B9A41-8A6E-164E-8E05-BF403F9E0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5A4"/>
    <w:pPr>
      <w:spacing w:after="160" w:line="259" w:lineRule="auto"/>
    </w:pPr>
    <w:rPr>
      <w:rFonts w:ascii="Calibri" w:eastAsia="Calibri" w:hAnsi="Calibri" w:cs="Calibri"/>
      <w:color w:val="000000"/>
      <w:sz w:val="22"/>
      <w14:ligatures w14:val="standardContextual"/>
    </w:rPr>
  </w:style>
  <w:style w:type="paragraph" w:styleId="1">
    <w:name w:val="heading 1"/>
    <w:basedOn w:val="a"/>
    <w:next w:val="a"/>
    <w:link w:val="10"/>
    <w:uiPriority w:val="9"/>
    <w:qFormat/>
    <w:rsid w:val="006F15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15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15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15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15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15A4"/>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15A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15A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6F15A4"/>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15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15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15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15A4"/>
    <w:rPr>
      <w:rFonts w:cstheme="majorBidi"/>
      <w:color w:val="2F5496" w:themeColor="accent1" w:themeShade="BF"/>
      <w:sz w:val="28"/>
      <w:szCs w:val="28"/>
    </w:rPr>
  </w:style>
  <w:style w:type="character" w:customStyle="1" w:styleId="50">
    <w:name w:val="标题 5 字符"/>
    <w:basedOn w:val="a0"/>
    <w:link w:val="5"/>
    <w:uiPriority w:val="9"/>
    <w:semiHidden/>
    <w:rsid w:val="006F15A4"/>
    <w:rPr>
      <w:rFonts w:cstheme="majorBidi"/>
      <w:color w:val="2F5496" w:themeColor="accent1" w:themeShade="BF"/>
      <w:sz w:val="24"/>
    </w:rPr>
  </w:style>
  <w:style w:type="character" w:customStyle="1" w:styleId="60">
    <w:name w:val="标题 6 字符"/>
    <w:basedOn w:val="a0"/>
    <w:link w:val="6"/>
    <w:uiPriority w:val="9"/>
    <w:semiHidden/>
    <w:rsid w:val="006F15A4"/>
    <w:rPr>
      <w:rFonts w:cstheme="majorBidi"/>
      <w:b/>
      <w:bCs/>
      <w:color w:val="2F5496" w:themeColor="accent1" w:themeShade="BF"/>
    </w:rPr>
  </w:style>
  <w:style w:type="character" w:customStyle="1" w:styleId="70">
    <w:name w:val="标题 7 字符"/>
    <w:basedOn w:val="a0"/>
    <w:link w:val="7"/>
    <w:uiPriority w:val="9"/>
    <w:semiHidden/>
    <w:rsid w:val="006F15A4"/>
    <w:rPr>
      <w:rFonts w:cstheme="majorBidi"/>
      <w:b/>
      <w:bCs/>
      <w:color w:val="595959" w:themeColor="text1" w:themeTint="A6"/>
    </w:rPr>
  </w:style>
  <w:style w:type="character" w:customStyle="1" w:styleId="80">
    <w:name w:val="标题 8 字符"/>
    <w:basedOn w:val="a0"/>
    <w:link w:val="8"/>
    <w:uiPriority w:val="9"/>
    <w:semiHidden/>
    <w:rsid w:val="006F15A4"/>
    <w:rPr>
      <w:rFonts w:cstheme="majorBidi"/>
      <w:color w:val="595959" w:themeColor="text1" w:themeTint="A6"/>
    </w:rPr>
  </w:style>
  <w:style w:type="character" w:customStyle="1" w:styleId="90">
    <w:name w:val="标题 9 字符"/>
    <w:basedOn w:val="a0"/>
    <w:link w:val="9"/>
    <w:uiPriority w:val="9"/>
    <w:semiHidden/>
    <w:rsid w:val="006F15A4"/>
    <w:rPr>
      <w:rFonts w:eastAsiaTheme="majorEastAsia" w:cstheme="majorBidi"/>
      <w:color w:val="595959" w:themeColor="text1" w:themeTint="A6"/>
    </w:rPr>
  </w:style>
  <w:style w:type="paragraph" w:styleId="a3">
    <w:name w:val="Title"/>
    <w:basedOn w:val="a"/>
    <w:next w:val="a"/>
    <w:link w:val="a4"/>
    <w:uiPriority w:val="10"/>
    <w:qFormat/>
    <w:rsid w:val="006F15A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15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15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15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15A4"/>
    <w:pPr>
      <w:spacing w:before="160"/>
      <w:jc w:val="center"/>
    </w:pPr>
    <w:rPr>
      <w:i/>
      <w:iCs/>
      <w:color w:val="404040" w:themeColor="text1" w:themeTint="BF"/>
    </w:rPr>
  </w:style>
  <w:style w:type="character" w:customStyle="1" w:styleId="a8">
    <w:name w:val="引用 字符"/>
    <w:basedOn w:val="a0"/>
    <w:link w:val="a7"/>
    <w:uiPriority w:val="29"/>
    <w:rsid w:val="006F15A4"/>
    <w:rPr>
      <w:i/>
      <w:iCs/>
      <w:color w:val="404040" w:themeColor="text1" w:themeTint="BF"/>
    </w:rPr>
  </w:style>
  <w:style w:type="paragraph" w:styleId="a9">
    <w:name w:val="List Paragraph"/>
    <w:basedOn w:val="a"/>
    <w:uiPriority w:val="34"/>
    <w:qFormat/>
    <w:rsid w:val="006F15A4"/>
    <w:pPr>
      <w:ind w:left="720"/>
      <w:contextualSpacing/>
    </w:pPr>
  </w:style>
  <w:style w:type="character" w:styleId="aa">
    <w:name w:val="Intense Emphasis"/>
    <w:basedOn w:val="a0"/>
    <w:uiPriority w:val="21"/>
    <w:qFormat/>
    <w:rsid w:val="006F15A4"/>
    <w:rPr>
      <w:i/>
      <w:iCs/>
      <w:color w:val="2F5496" w:themeColor="accent1" w:themeShade="BF"/>
    </w:rPr>
  </w:style>
  <w:style w:type="paragraph" w:styleId="ab">
    <w:name w:val="Intense Quote"/>
    <w:basedOn w:val="a"/>
    <w:next w:val="a"/>
    <w:link w:val="ac"/>
    <w:uiPriority w:val="30"/>
    <w:qFormat/>
    <w:rsid w:val="006F15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15A4"/>
    <w:rPr>
      <w:i/>
      <w:iCs/>
      <w:color w:val="2F5496" w:themeColor="accent1" w:themeShade="BF"/>
    </w:rPr>
  </w:style>
  <w:style w:type="character" w:styleId="ad">
    <w:name w:val="Intense Reference"/>
    <w:basedOn w:val="a0"/>
    <w:uiPriority w:val="32"/>
    <w:qFormat/>
    <w:rsid w:val="006F15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269</Words>
  <Characters>1539</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Yan</dc:creator>
  <cp:keywords/>
  <dc:description/>
  <cp:lastModifiedBy>Jim Yan</cp:lastModifiedBy>
  <cp:revision>1</cp:revision>
  <dcterms:created xsi:type="dcterms:W3CDTF">2025-05-10T02:21:00Z</dcterms:created>
  <dcterms:modified xsi:type="dcterms:W3CDTF">2025-05-10T02:22:00Z</dcterms:modified>
</cp:coreProperties>
</file>