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90" w:rsidRDefault="00971E30" w:rsidP="003C1B90">
      <w:pPr>
        <w:jc w:val="center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color w:val="000000"/>
          <w:sz w:val="36"/>
        </w:rPr>
        <w:t>上海政法学院</w:t>
      </w:r>
      <w:r w:rsidR="003C1B90">
        <w:rPr>
          <w:rFonts w:eastAsia="黑体" w:hint="eastAsia"/>
          <w:b/>
          <w:color w:val="000000"/>
          <w:sz w:val="36"/>
        </w:rPr>
        <w:t>校区扩建项目（五期）</w:t>
      </w:r>
    </w:p>
    <w:p w:rsidR="00971E30" w:rsidRDefault="003C1B90" w:rsidP="003C1B90">
      <w:pPr>
        <w:jc w:val="center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color w:val="000000"/>
          <w:sz w:val="36"/>
        </w:rPr>
        <w:t>深基坑围护设计项目招标和技术</w:t>
      </w:r>
      <w:r>
        <w:rPr>
          <w:rFonts w:eastAsia="黑体"/>
          <w:b/>
          <w:color w:val="000000"/>
          <w:sz w:val="36"/>
        </w:rPr>
        <w:t>要求</w:t>
      </w:r>
    </w:p>
    <w:p w:rsidR="003C1B90" w:rsidRPr="00B738E3" w:rsidRDefault="003C1B90" w:rsidP="003C1B90">
      <w:pPr>
        <w:jc w:val="center"/>
        <w:rPr>
          <w:rFonts w:eastAsia="黑体"/>
          <w:b/>
          <w:color w:val="000000"/>
          <w:sz w:val="36"/>
        </w:rPr>
      </w:pPr>
    </w:p>
    <w:p w:rsidR="003C1B90" w:rsidRDefault="003C1B90" w:rsidP="003C1B90">
      <w:pPr>
        <w:snapToGrid w:val="0"/>
        <w:spacing w:line="36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一、项目概况：</w:t>
      </w:r>
    </w:p>
    <w:p w:rsidR="003C1B90" w:rsidRDefault="003C1B90" w:rsidP="003C1B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上海政法学院校区扩建</w:t>
      </w:r>
      <w:r w:rsidRPr="00B02677">
        <w:rPr>
          <w:rFonts w:hint="eastAsia"/>
          <w:sz w:val="28"/>
          <w:szCs w:val="28"/>
        </w:rPr>
        <w:t>项目五期位于上海市松江区佘山镇，</w:t>
      </w:r>
      <w:r w:rsidR="00C664CC">
        <w:rPr>
          <w:rFonts w:hint="eastAsia"/>
          <w:sz w:val="28"/>
          <w:szCs w:val="28"/>
        </w:rPr>
        <w:t>泗陈公路</w:t>
      </w:r>
      <w:r w:rsidR="00C664CC">
        <w:rPr>
          <w:rFonts w:hint="eastAsia"/>
          <w:sz w:val="28"/>
          <w:szCs w:val="28"/>
        </w:rPr>
        <w:t>5488</w:t>
      </w:r>
      <w:r w:rsidR="00C664CC">
        <w:rPr>
          <w:rFonts w:hint="eastAsia"/>
          <w:sz w:val="28"/>
          <w:szCs w:val="28"/>
        </w:rPr>
        <w:t>号，</w:t>
      </w:r>
      <w:r w:rsidRPr="00B02677">
        <w:rPr>
          <w:rFonts w:hint="eastAsia"/>
          <w:sz w:val="28"/>
          <w:szCs w:val="28"/>
        </w:rPr>
        <w:t>上海政法学院校区西北部学生公寓楼，共</w:t>
      </w:r>
      <w:r w:rsidRPr="00B02677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栋，总建筑面积</w:t>
      </w:r>
      <w:r>
        <w:rPr>
          <w:rFonts w:hint="eastAsia"/>
          <w:sz w:val="28"/>
          <w:szCs w:val="28"/>
        </w:rPr>
        <w:t>16840</w:t>
      </w:r>
      <w:r>
        <w:rPr>
          <w:rFonts w:hint="eastAsia"/>
          <w:sz w:val="28"/>
          <w:szCs w:val="28"/>
        </w:rPr>
        <w:t>平方米。其中单栋</w:t>
      </w:r>
      <w:r w:rsidRPr="00B02677">
        <w:rPr>
          <w:rFonts w:hint="eastAsia"/>
          <w:sz w:val="28"/>
          <w:szCs w:val="28"/>
        </w:rPr>
        <w:t>建筑面积为</w:t>
      </w:r>
      <w:r w:rsidRPr="00B02677">
        <w:rPr>
          <w:rFonts w:hint="eastAsia"/>
          <w:sz w:val="28"/>
          <w:szCs w:val="28"/>
        </w:rPr>
        <w:t>8420.00</w:t>
      </w:r>
      <w:r w:rsidRPr="00B02677">
        <w:rPr>
          <w:rFonts w:hint="eastAsia"/>
          <w:sz w:val="28"/>
          <w:szCs w:val="28"/>
        </w:rPr>
        <w:t>平方米，地上</w:t>
      </w:r>
      <w:r>
        <w:rPr>
          <w:rFonts w:hint="eastAsia"/>
          <w:sz w:val="28"/>
          <w:szCs w:val="28"/>
        </w:rPr>
        <w:t>十一层</w:t>
      </w:r>
      <w:r w:rsidRPr="00B02677">
        <w:rPr>
          <w:rFonts w:hint="eastAsia"/>
          <w:sz w:val="28"/>
          <w:szCs w:val="28"/>
        </w:rPr>
        <w:t>建筑面积为</w:t>
      </w:r>
      <w:r w:rsidRPr="00B02677">
        <w:rPr>
          <w:rFonts w:hint="eastAsia"/>
          <w:sz w:val="28"/>
          <w:szCs w:val="28"/>
        </w:rPr>
        <w:t>7817.00</w:t>
      </w:r>
      <w:r w:rsidRPr="00B02677">
        <w:rPr>
          <w:rFonts w:hint="eastAsia"/>
          <w:sz w:val="28"/>
          <w:szCs w:val="28"/>
        </w:rPr>
        <w:t>平方米，地下</w:t>
      </w:r>
      <w:r>
        <w:rPr>
          <w:rFonts w:hint="eastAsia"/>
          <w:sz w:val="28"/>
          <w:szCs w:val="28"/>
        </w:rPr>
        <w:t>一层</w:t>
      </w:r>
      <w:r w:rsidRPr="00B02677">
        <w:rPr>
          <w:rFonts w:hint="eastAsia"/>
          <w:sz w:val="28"/>
          <w:szCs w:val="28"/>
        </w:rPr>
        <w:t>建筑面积为</w:t>
      </w:r>
      <w:r w:rsidRPr="00B02677">
        <w:rPr>
          <w:rFonts w:hint="eastAsia"/>
          <w:sz w:val="28"/>
          <w:szCs w:val="28"/>
        </w:rPr>
        <w:t>603.00</w:t>
      </w:r>
      <w:r w:rsidRPr="00B02677">
        <w:rPr>
          <w:rFonts w:hint="eastAsia"/>
          <w:sz w:val="28"/>
          <w:szCs w:val="28"/>
        </w:rPr>
        <w:t>平方米。</w:t>
      </w:r>
      <w:r>
        <w:rPr>
          <w:rFonts w:hint="eastAsia"/>
          <w:sz w:val="28"/>
          <w:szCs w:val="28"/>
        </w:rPr>
        <w:t>目前已完成桩基施工，</w:t>
      </w:r>
      <w:r w:rsidRPr="007035F3">
        <w:rPr>
          <w:rFonts w:hint="eastAsia"/>
          <w:sz w:val="28"/>
          <w:szCs w:val="28"/>
        </w:rPr>
        <w:t>周边无市政管线</w:t>
      </w:r>
      <w:r w:rsidRPr="00B02677">
        <w:rPr>
          <w:rFonts w:hint="eastAsia"/>
          <w:sz w:val="28"/>
          <w:szCs w:val="28"/>
        </w:rPr>
        <w:t>。</w:t>
      </w:r>
    </w:p>
    <w:p w:rsidR="003C1B90" w:rsidRPr="007035F3" w:rsidRDefault="003C1B90" w:rsidP="003C1B90">
      <w:pPr>
        <w:autoSpaceDE w:val="0"/>
        <w:autoSpaceDN w:val="0"/>
        <w:spacing w:line="360" w:lineRule="auto"/>
        <w:ind w:firstLineChars="200" w:firstLine="560"/>
        <w:rPr>
          <w:sz w:val="28"/>
          <w:szCs w:val="28"/>
        </w:rPr>
      </w:pPr>
    </w:p>
    <w:p w:rsidR="003C1B90" w:rsidRPr="002C66BD" w:rsidRDefault="003C1B90" w:rsidP="003C1B90">
      <w:pPr>
        <w:snapToGrid w:val="0"/>
        <w:spacing w:line="360" w:lineRule="auto"/>
        <w:rPr>
          <w:rFonts w:hAnsi="宋体"/>
          <w:b/>
          <w:bCs/>
          <w:sz w:val="28"/>
          <w:szCs w:val="28"/>
        </w:rPr>
      </w:pPr>
      <w:r w:rsidRPr="002C66BD">
        <w:rPr>
          <w:rFonts w:hAnsi="宋体" w:hint="eastAsia"/>
          <w:b/>
          <w:bCs/>
          <w:sz w:val="28"/>
          <w:szCs w:val="28"/>
        </w:rPr>
        <w:t>二、采购依据</w:t>
      </w:r>
      <w:r>
        <w:rPr>
          <w:rFonts w:hAnsi="宋体" w:hint="eastAsia"/>
          <w:b/>
          <w:bCs/>
          <w:sz w:val="28"/>
          <w:szCs w:val="28"/>
        </w:rPr>
        <w:t>和预算资金</w:t>
      </w:r>
      <w:r w:rsidRPr="002C66BD">
        <w:rPr>
          <w:rFonts w:hAnsi="宋体" w:hint="eastAsia"/>
          <w:b/>
          <w:bCs/>
          <w:sz w:val="28"/>
          <w:szCs w:val="28"/>
        </w:rPr>
        <w:t>：</w:t>
      </w:r>
    </w:p>
    <w:p w:rsidR="003C1B90" w:rsidRPr="002266A5" w:rsidRDefault="003C1B90" w:rsidP="003C1B90">
      <w:pPr>
        <w:snapToGrid w:val="0"/>
        <w:spacing w:line="360" w:lineRule="auto"/>
        <w:ind w:firstLineChars="200" w:firstLine="562"/>
        <w:rPr>
          <w:b/>
          <w:sz w:val="28"/>
          <w:szCs w:val="28"/>
        </w:rPr>
      </w:pPr>
      <w:r w:rsidRPr="002266A5">
        <w:rPr>
          <w:rFonts w:hint="eastAsia"/>
          <w:b/>
          <w:sz w:val="28"/>
          <w:szCs w:val="28"/>
        </w:rPr>
        <w:t>1</w:t>
      </w:r>
      <w:r w:rsidRPr="002266A5">
        <w:rPr>
          <w:rFonts w:hint="eastAsia"/>
          <w:b/>
          <w:sz w:val="28"/>
          <w:szCs w:val="28"/>
        </w:rPr>
        <w:t>、采购依据：</w:t>
      </w:r>
    </w:p>
    <w:p w:rsidR="003C1B90" w:rsidRPr="002C66BD" w:rsidRDefault="003C1B90" w:rsidP="003C1B90">
      <w:pPr>
        <w:snapToGrid w:val="0"/>
        <w:spacing w:line="360" w:lineRule="auto"/>
        <w:ind w:firstLineChars="200" w:firstLine="560"/>
        <w:rPr>
          <w:sz w:val="28"/>
          <w:szCs w:val="28"/>
        </w:rPr>
      </w:pPr>
      <w:r w:rsidRPr="002C66BD">
        <w:rPr>
          <w:rFonts w:hint="eastAsia"/>
          <w:sz w:val="28"/>
          <w:szCs w:val="28"/>
        </w:rPr>
        <w:t>沪建交〔</w:t>
      </w:r>
      <w:r w:rsidRPr="002C66BD">
        <w:rPr>
          <w:rFonts w:hint="eastAsia"/>
          <w:sz w:val="28"/>
          <w:szCs w:val="28"/>
        </w:rPr>
        <w:t>2012</w:t>
      </w:r>
      <w:r w:rsidRPr="002C66BD">
        <w:rPr>
          <w:rFonts w:hint="eastAsia"/>
          <w:sz w:val="28"/>
          <w:szCs w:val="28"/>
        </w:rPr>
        <w:t>〕</w:t>
      </w:r>
      <w:r w:rsidRPr="002C66BD">
        <w:rPr>
          <w:rFonts w:hint="eastAsia"/>
          <w:sz w:val="28"/>
          <w:szCs w:val="28"/>
        </w:rPr>
        <w:t>645</w:t>
      </w:r>
      <w:r w:rsidRPr="002C66BD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《</w:t>
      </w:r>
      <w:r w:rsidRPr="002C66BD">
        <w:rPr>
          <w:rFonts w:hint="eastAsia"/>
          <w:sz w:val="28"/>
          <w:szCs w:val="28"/>
        </w:rPr>
        <w:t>关于进一步加强本市基坑和桩基工程质量安全管理的通知</w:t>
      </w:r>
      <w:r>
        <w:rPr>
          <w:rFonts w:hint="eastAsia"/>
          <w:sz w:val="28"/>
          <w:szCs w:val="28"/>
        </w:rPr>
        <w:t>》</w:t>
      </w:r>
    </w:p>
    <w:p w:rsidR="003C1B90" w:rsidRDefault="003C1B90" w:rsidP="003C1B90">
      <w:pPr>
        <w:snapToGrid w:val="0"/>
        <w:spacing w:line="36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 xml:space="preserve">    2</w:t>
      </w:r>
      <w:r>
        <w:rPr>
          <w:rFonts w:hAnsi="宋体" w:hint="eastAsia"/>
          <w:b/>
          <w:bCs/>
          <w:sz w:val="28"/>
          <w:szCs w:val="28"/>
        </w:rPr>
        <w:t>、预算资金：</w:t>
      </w:r>
    </w:p>
    <w:p w:rsidR="003C1B90" w:rsidRPr="00D8620A" w:rsidRDefault="003C1B90" w:rsidP="003C1B90">
      <w:pPr>
        <w:snapToGrid w:val="0"/>
        <w:spacing w:line="360" w:lineRule="auto"/>
        <w:rPr>
          <w:rFonts w:hAnsi="宋体"/>
          <w:bCs/>
          <w:sz w:val="28"/>
          <w:szCs w:val="28"/>
        </w:rPr>
      </w:pPr>
      <w:r w:rsidRPr="00D8620A">
        <w:rPr>
          <w:rFonts w:hAnsi="宋体" w:hint="eastAsia"/>
          <w:bCs/>
          <w:sz w:val="28"/>
          <w:szCs w:val="28"/>
        </w:rPr>
        <w:t>本项目预算资金</w:t>
      </w:r>
      <w:r>
        <w:rPr>
          <w:rFonts w:hAnsi="宋体" w:hint="eastAsia"/>
          <w:bCs/>
          <w:sz w:val="28"/>
          <w:szCs w:val="28"/>
        </w:rPr>
        <w:t>6</w:t>
      </w:r>
      <w:r w:rsidRPr="00D8620A">
        <w:rPr>
          <w:rFonts w:hAnsi="宋体" w:hint="eastAsia"/>
          <w:bCs/>
          <w:sz w:val="28"/>
          <w:szCs w:val="28"/>
        </w:rPr>
        <w:t>万元。详见</w:t>
      </w:r>
      <w:r>
        <w:rPr>
          <w:rFonts w:hAnsi="宋体" w:hint="eastAsia"/>
          <w:bCs/>
          <w:sz w:val="28"/>
          <w:szCs w:val="28"/>
        </w:rPr>
        <w:t>《</w:t>
      </w:r>
      <w:r w:rsidRPr="00D8620A">
        <w:rPr>
          <w:rFonts w:hint="eastAsia"/>
          <w:sz w:val="28"/>
          <w:szCs w:val="28"/>
        </w:rPr>
        <w:t>上海政法学院校区扩建项目（五期）深基坑监测项目投资监理审核意见</w:t>
      </w:r>
      <w:r>
        <w:rPr>
          <w:rFonts w:hint="eastAsia"/>
          <w:sz w:val="28"/>
          <w:szCs w:val="28"/>
        </w:rPr>
        <w:t>》。</w:t>
      </w:r>
    </w:p>
    <w:p w:rsidR="003C1B90" w:rsidRPr="002C66BD" w:rsidRDefault="003C1B90" w:rsidP="003C1B90">
      <w:pPr>
        <w:snapToGrid w:val="0"/>
        <w:spacing w:line="360" w:lineRule="auto"/>
        <w:rPr>
          <w:rFonts w:hAnsi="宋体"/>
          <w:b/>
          <w:bCs/>
          <w:sz w:val="28"/>
          <w:szCs w:val="28"/>
        </w:rPr>
      </w:pPr>
    </w:p>
    <w:p w:rsidR="003C1B90" w:rsidRDefault="003C1B90" w:rsidP="003C1B90">
      <w:pPr>
        <w:snapToGrid w:val="0"/>
        <w:spacing w:line="36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三、投标人资质：</w:t>
      </w:r>
    </w:p>
    <w:p w:rsidR="003C1B90" w:rsidRDefault="003C1B90" w:rsidP="003C1B90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、具有独立法人资格的国内申请人。</w:t>
      </w:r>
    </w:p>
    <w:p w:rsidR="003C1B90" w:rsidRDefault="003C1B90" w:rsidP="003C1B90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7035F3">
        <w:rPr>
          <w:rFonts w:hint="eastAsia"/>
          <w:sz w:val="28"/>
          <w:szCs w:val="28"/>
        </w:rPr>
        <w:t>从事基坑</w:t>
      </w:r>
      <w:r>
        <w:rPr>
          <w:rFonts w:hint="eastAsia"/>
          <w:sz w:val="28"/>
          <w:szCs w:val="28"/>
        </w:rPr>
        <w:t>围护设计</w:t>
      </w:r>
      <w:r w:rsidRPr="007035F3">
        <w:rPr>
          <w:rFonts w:hint="eastAsia"/>
          <w:sz w:val="28"/>
          <w:szCs w:val="28"/>
        </w:rPr>
        <w:t>的单位应具备工程勘察综合资质或相应工程勘察专业资质。</w:t>
      </w:r>
    </w:p>
    <w:p w:rsidR="003C1B90" w:rsidRDefault="003C1B90" w:rsidP="003C1B90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、投标单位应具有类似项目的成功业绩；</w:t>
      </w:r>
    </w:p>
    <w:p w:rsidR="003C1B90" w:rsidRDefault="003C1B90" w:rsidP="003C1B90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、满足招标文件的必须条款。</w:t>
      </w:r>
    </w:p>
    <w:p w:rsidR="00DC0C12" w:rsidRDefault="00DC0C12" w:rsidP="00DC0C12">
      <w:pPr>
        <w:spacing w:line="36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lastRenderedPageBreak/>
        <w:t>四、招标范围及内容：</w:t>
      </w:r>
    </w:p>
    <w:p w:rsidR="00DC0C12" w:rsidRDefault="00DC0C12" w:rsidP="00DC0C12">
      <w:pPr>
        <w:snapToGrid w:val="0"/>
        <w:spacing w:line="360" w:lineRule="auto"/>
        <w:ind w:firstLineChars="200" w:firstLine="560"/>
        <w:rPr>
          <w:sz w:val="28"/>
          <w:szCs w:val="28"/>
        </w:rPr>
      </w:pPr>
      <w:bookmarkStart w:id="0" w:name="_Toc450378559"/>
      <w:r w:rsidRPr="002C66B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bookmarkEnd w:id="0"/>
      <w:r>
        <w:rPr>
          <w:rFonts w:hint="eastAsia"/>
          <w:sz w:val="28"/>
          <w:szCs w:val="28"/>
        </w:rPr>
        <w:t>基坑围护</w:t>
      </w:r>
      <w:r w:rsidR="00C664CC">
        <w:rPr>
          <w:rFonts w:hint="eastAsia"/>
          <w:sz w:val="28"/>
          <w:szCs w:val="28"/>
        </w:rPr>
        <w:t>设计</w:t>
      </w:r>
      <w:r>
        <w:rPr>
          <w:rFonts w:hint="eastAsia"/>
          <w:sz w:val="28"/>
          <w:szCs w:val="28"/>
        </w:rPr>
        <w:t>方案的评审、</w:t>
      </w:r>
      <w:r w:rsidRPr="00DC0C12">
        <w:rPr>
          <w:rFonts w:hint="eastAsia"/>
          <w:sz w:val="28"/>
          <w:szCs w:val="28"/>
        </w:rPr>
        <w:t>基坑围护设计、施工现场服务等。</w:t>
      </w:r>
    </w:p>
    <w:p w:rsidR="00DC0C12" w:rsidRDefault="00DC0C12" w:rsidP="00DC0C12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DC0C12">
        <w:rPr>
          <w:sz w:val="28"/>
          <w:szCs w:val="28"/>
        </w:rPr>
        <w:t>工程设计周期要求：</w:t>
      </w:r>
      <w:r w:rsidRPr="00DC0C12">
        <w:rPr>
          <w:rFonts w:hint="eastAsia"/>
          <w:sz w:val="28"/>
          <w:szCs w:val="28"/>
        </w:rPr>
        <w:t>自合同签订之日起</w:t>
      </w:r>
      <w:r w:rsidRPr="00DC0C12">
        <w:rPr>
          <w:rFonts w:hint="eastAsia"/>
          <w:sz w:val="28"/>
          <w:szCs w:val="28"/>
        </w:rPr>
        <w:t xml:space="preserve"> 15 </w:t>
      </w:r>
      <w:r w:rsidRPr="00DC0C12">
        <w:rPr>
          <w:rFonts w:hint="eastAsia"/>
          <w:sz w:val="28"/>
          <w:szCs w:val="28"/>
        </w:rPr>
        <w:t>个工作日（含设计评审），服务期限至基坑回填土完成。</w:t>
      </w:r>
    </w:p>
    <w:p w:rsidR="00DC0C12" w:rsidRPr="002C66BD" w:rsidRDefault="00DC0C12" w:rsidP="00DC0C12">
      <w:pPr>
        <w:snapToGrid w:val="0"/>
        <w:spacing w:line="360" w:lineRule="auto"/>
        <w:rPr>
          <w:sz w:val="28"/>
          <w:szCs w:val="28"/>
        </w:rPr>
      </w:pPr>
    </w:p>
    <w:p w:rsidR="003C1B90" w:rsidRPr="00D539A4" w:rsidRDefault="00D539A4" w:rsidP="00D539A4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</w:t>
      </w:r>
      <w:r w:rsidR="003C1B90" w:rsidRPr="00D539A4">
        <w:rPr>
          <w:rFonts w:hint="eastAsia"/>
          <w:b/>
          <w:sz w:val="28"/>
          <w:szCs w:val="28"/>
        </w:rPr>
        <w:t>其他要求：</w:t>
      </w:r>
    </w:p>
    <w:p w:rsidR="003C1B90" w:rsidRPr="00D539A4" w:rsidRDefault="00D539A4" w:rsidP="00D539A4">
      <w:pPr>
        <w:pStyle w:val="a6"/>
        <w:spacing w:line="360" w:lineRule="auto"/>
        <w:ind w:left="2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3C1B90" w:rsidRPr="00D539A4">
        <w:rPr>
          <w:rFonts w:hint="eastAsia"/>
          <w:sz w:val="28"/>
          <w:szCs w:val="28"/>
        </w:rPr>
        <w:t>本次报价包含</w:t>
      </w:r>
      <w:r>
        <w:rPr>
          <w:rFonts w:hint="eastAsia"/>
          <w:sz w:val="28"/>
          <w:szCs w:val="28"/>
        </w:rPr>
        <w:t>基坑</w:t>
      </w:r>
      <w:r w:rsidR="00C664CC">
        <w:rPr>
          <w:rFonts w:hint="eastAsia"/>
          <w:sz w:val="28"/>
          <w:szCs w:val="28"/>
        </w:rPr>
        <w:t>围护设计</w:t>
      </w:r>
      <w:r>
        <w:rPr>
          <w:rFonts w:hint="eastAsia"/>
          <w:sz w:val="28"/>
          <w:szCs w:val="28"/>
        </w:rPr>
        <w:t>方案评审</w:t>
      </w:r>
      <w:r w:rsidR="00C664CC">
        <w:rPr>
          <w:rFonts w:hint="eastAsia"/>
          <w:sz w:val="28"/>
          <w:szCs w:val="28"/>
        </w:rPr>
        <w:t>（不含专家评审费）</w:t>
      </w:r>
      <w:r>
        <w:rPr>
          <w:rFonts w:hint="eastAsia"/>
          <w:sz w:val="28"/>
          <w:szCs w:val="28"/>
        </w:rPr>
        <w:t>、基坑围护设计、现场服务、</w:t>
      </w:r>
      <w:bookmarkStart w:id="1" w:name="_GoBack"/>
      <w:bookmarkEnd w:id="1"/>
      <w:r w:rsidR="003C1B90" w:rsidRPr="00D539A4">
        <w:rPr>
          <w:rFonts w:hint="eastAsia"/>
          <w:sz w:val="28"/>
          <w:szCs w:val="28"/>
        </w:rPr>
        <w:t>招标代理费等一切费用。</w:t>
      </w:r>
    </w:p>
    <w:p w:rsidR="003C1B90" w:rsidRPr="00D539A4" w:rsidRDefault="00D539A4" w:rsidP="00D539A4">
      <w:pPr>
        <w:pStyle w:val="a6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3C1B90" w:rsidRPr="00D539A4">
        <w:rPr>
          <w:rFonts w:hint="eastAsia"/>
          <w:sz w:val="28"/>
          <w:szCs w:val="28"/>
        </w:rPr>
        <w:t>付款方式：合同签订后预付合同款的</w:t>
      </w:r>
      <w:r w:rsidR="003C1B90" w:rsidRPr="00D539A4">
        <w:rPr>
          <w:rFonts w:hint="eastAsia"/>
          <w:sz w:val="28"/>
          <w:szCs w:val="28"/>
        </w:rPr>
        <w:t>40%</w:t>
      </w:r>
      <w:r w:rsidR="003C1B90" w:rsidRPr="00D539A4">
        <w:rPr>
          <w:rFonts w:hint="eastAsia"/>
          <w:sz w:val="28"/>
          <w:szCs w:val="28"/>
        </w:rPr>
        <w:t>，待检测完成并提交正式检测报告后支付合同款的</w:t>
      </w:r>
      <w:r w:rsidR="003C1B90" w:rsidRPr="00D539A4">
        <w:rPr>
          <w:rFonts w:hint="eastAsia"/>
          <w:sz w:val="28"/>
          <w:szCs w:val="28"/>
        </w:rPr>
        <w:t>60%</w:t>
      </w:r>
      <w:r w:rsidR="003C1B90" w:rsidRPr="00D539A4">
        <w:rPr>
          <w:rFonts w:hint="eastAsia"/>
          <w:sz w:val="28"/>
          <w:szCs w:val="28"/>
        </w:rPr>
        <w:t>。</w:t>
      </w:r>
    </w:p>
    <w:p w:rsidR="00971E30" w:rsidRPr="00E41620" w:rsidRDefault="00D539A4" w:rsidP="00971E30">
      <w:pPr>
        <w:pStyle w:val="Default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E41620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 xml:space="preserve">    3</w:t>
      </w:r>
      <w:r w:rsidRPr="00E41620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、合同总价：本项目为总价包干，方案调整和现场变更时总价不予调整。</w:t>
      </w:r>
    </w:p>
    <w:p w:rsidR="00971E30" w:rsidRPr="00D539A4" w:rsidRDefault="00971E30" w:rsidP="00971E30">
      <w:pPr>
        <w:pStyle w:val="Default"/>
      </w:pPr>
    </w:p>
    <w:p w:rsidR="00971E30" w:rsidRDefault="00971E30" w:rsidP="00971E30">
      <w:pPr>
        <w:pStyle w:val="Default"/>
      </w:pPr>
    </w:p>
    <w:p w:rsidR="00971E30" w:rsidRDefault="00971E30" w:rsidP="00971E30">
      <w:pPr>
        <w:pStyle w:val="Default"/>
      </w:pPr>
    </w:p>
    <w:p w:rsidR="00971E30" w:rsidRDefault="00971E30" w:rsidP="00971E30">
      <w:pPr>
        <w:pStyle w:val="Default"/>
      </w:pPr>
    </w:p>
    <w:p w:rsidR="00971E30" w:rsidRDefault="00971E30" w:rsidP="00971E30">
      <w:pPr>
        <w:pStyle w:val="Default"/>
      </w:pPr>
    </w:p>
    <w:p w:rsidR="00971E30" w:rsidRDefault="00971E30" w:rsidP="00971E30">
      <w:pPr>
        <w:pStyle w:val="Default"/>
      </w:pPr>
    </w:p>
    <w:p w:rsidR="00971E30" w:rsidRDefault="00971E30" w:rsidP="00971E30">
      <w:pPr>
        <w:pStyle w:val="Default"/>
      </w:pPr>
    </w:p>
    <w:p w:rsidR="00971E30" w:rsidRDefault="00971E30" w:rsidP="00971E30">
      <w:pPr>
        <w:pStyle w:val="Default"/>
      </w:pPr>
    </w:p>
    <w:p w:rsidR="00971E30" w:rsidRDefault="00971E30" w:rsidP="00971E30">
      <w:pPr>
        <w:pStyle w:val="Default"/>
      </w:pPr>
    </w:p>
    <w:p w:rsidR="00971E30" w:rsidRDefault="00971E30" w:rsidP="00971E30">
      <w:pPr>
        <w:pStyle w:val="Default"/>
      </w:pPr>
    </w:p>
    <w:p w:rsidR="00BC3D58" w:rsidRDefault="00BC3D58" w:rsidP="00BC3D58">
      <w:pPr>
        <w:spacing w:line="360" w:lineRule="auto"/>
        <w:rPr>
          <w:rFonts w:ascii="仿宋" w:hAnsi="仿宋" w:cs="仿宋"/>
          <w:color w:val="000000"/>
          <w:kern w:val="0"/>
          <w:szCs w:val="21"/>
        </w:rPr>
      </w:pPr>
    </w:p>
    <w:p w:rsidR="00971E30" w:rsidRDefault="00BC3D58" w:rsidP="00BC3D58">
      <w:pPr>
        <w:spacing w:line="360" w:lineRule="auto"/>
        <w:rPr>
          <w:rFonts w:ascii="仿宋" w:hAnsi="仿宋" w:cs="仿宋"/>
          <w:color w:val="000000"/>
          <w:kern w:val="0"/>
          <w:sz w:val="24"/>
        </w:rPr>
      </w:pPr>
      <w:r w:rsidRPr="00FB05FF">
        <w:rPr>
          <w:rFonts w:ascii="仿宋" w:hAnsi="仿宋" w:cs="仿宋" w:hint="eastAsia"/>
          <w:color w:val="000000"/>
          <w:kern w:val="0"/>
          <w:sz w:val="24"/>
        </w:rPr>
        <w:t>编制人：部门领导：</w:t>
      </w:r>
    </w:p>
    <w:p w:rsidR="00C664CC" w:rsidRDefault="00C664CC" w:rsidP="00BC3D58">
      <w:pPr>
        <w:spacing w:line="360" w:lineRule="auto"/>
        <w:rPr>
          <w:rFonts w:ascii="仿宋" w:hAnsi="仿宋" w:cs="仿宋"/>
          <w:color w:val="000000"/>
          <w:kern w:val="0"/>
          <w:sz w:val="24"/>
        </w:rPr>
      </w:pPr>
    </w:p>
    <w:p w:rsidR="00C664CC" w:rsidRPr="00FB05FF" w:rsidRDefault="00C664CC" w:rsidP="00C664CC">
      <w:pPr>
        <w:spacing w:line="360" w:lineRule="auto"/>
        <w:jc w:val="center"/>
        <w:rPr>
          <w:sz w:val="24"/>
        </w:rPr>
      </w:pPr>
      <w:r>
        <w:rPr>
          <w:rFonts w:ascii="仿宋" w:hAnsi="仿宋" w:cs="仿宋" w:hint="eastAsia"/>
          <w:color w:val="000000"/>
          <w:kern w:val="0"/>
          <w:sz w:val="24"/>
        </w:rPr>
        <w:t>二〇一六年五月十一日</w:t>
      </w:r>
    </w:p>
    <w:sectPr w:rsidR="00C664CC" w:rsidRPr="00FB05FF" w:rsidSect="00532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3FF" w:rsidRDefault="005443FF" w:rsidP="00BC3D58">
      <w:r>
        <w:separator/>
      </w:r>
    </w:p>
  </w:endnote>
  <w:endnote w:type="continuationSeparator" w:id="0">
    <w:p w:rsidR="005443FF" w:rsidRDefault="005443FF" w:rsidP="00BC3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3FF" w:rsidRDefault="005443FF" w:rsidP="00BC3D58">
      <w:r>
        <w:separator/>
      </w:r>
    </w:p>
  </w:footnote>
  <w:footnote w:type="continuationSeparator" w:id="0">
    <w:p w:rsidR="005443FF" w:rsidRDefault="005443FF" w:rsidP="00BC3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22B62"/>
    <w:multiLevelType w:val="hybridMultilevel"/>
    <w:tmpl w:val="28FE16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792762"/>
    <w:multiLevelType w:val="multilevel"/>
    <w:tmpl w:val="22792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5808B6"/>
    <w:multiLevelType w:val="hybridMultilevel"/>
    <w:tmpl w:val="49907048"/>
    <w:lvl w:ilvl="0" w:tplc="A91408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993AEA"/>
    <w:multiLevelType w:val="multilevel"/>
    <w:tmpl w:val="54993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E30"/>
    <w:rsid w:val="001C71BC"/>
    <w:rsid w:val="002E6BC3"/>
    <w:rsid w:val="002F78FC"/>
    <w:rsid w:val="003C1B90"/>
    <w:rsid w:val="004B307E"/>
    <w:rsid w:val="00532142"/>
    <w:rsid w:val="00532362"/>
    <w:rsid w:val="005443FF"/>
    <w:rsid w:val="0075261C"/>
    <w:rsid w:val="009117B3"/>
    <w:rsid w:val="00971E30"/>
    <w:rsid w:val="009E5D58"/>
    <w:rsid w:val="00BC3D58"/>
    <w:rsid w:val="00C664CC"/>
    <w:rsid w:val="00D539A4"/>
    <w:rsid w:val="00DC0C12"/>
    <w:rsid w:val="00E41620"/>
    <w:rsid w:val="00ED2155"/>
    <w:rsid w:val="00FB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1E30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kern w:val="0"/>
      <w:sz w:val="24"/>
      <w:szCs w:val="24"/>
    </w:rPr>
  </w:style>
  <w:style w:type="character" w:styleId="a3">
    <w:name w:val="Strong"/>
    <w:uiPriority w:val="22"/>
    <w:qFormat/>
    <w:rsid w:val="00971E30"/>
    <w:rPr>
      <w:b/>
      <w:bCs/>
    </w:rPr>
  </w:style>
  <w:style w:type="paragraph" w:styleId="a4">
    <w:name w:val="header"/>
    <w:basedOn w:val="a"/>
    <w:link w:val="Char"/>
    <w:uiPriority w:val="99"/>
    <w:unhideWhenUsed/>
    <w:rsid w:val="00BC3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3D5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3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3D5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C1B90"/>
    <w:pPr>
      <w:ind w:firstLineChars="200" w:firstLine="420"/>
    </w:pPr>
  </w:style>
  <w:style w:type="paragraph" w:customStyle="1" w:styleId="Char1">
    <w:name w:val="Char1"/>
    <w:basedOn w:val="a"/>
    <w:rsid w:val="00DC0C12"/>
    <w:pPr>
      <w:spacing w:line="360" w:lineRule="auto"/>
      <w:ind w:firstLineChars="200" w:firstLine="480"/>
    </w:pPr>
    <w:rPr>
      <w:rFonts w:ascii="宋体" w:hAnsi="宋体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1E30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kern w:val="0"/>
      <w:sz w:val="24"/>
      <w:szCs w:val="24"/>
    </w:rPr>
  </w:style>
  <w:style w:type="character" w:styleId="a3">
    <w:name w:val="Strong"/>
    <w:uiPriority w:val="22"/>
    <w:qFormat/>
    <w:rsid w:val="00971E30"/>
    <w:rPr>
      <w:b/>
      <w:bCs/>
    </w:rPr>
  </w:style>
  <w:style w:type="paragraph" w:styleId="a4">
    <w:name w:val="header"/>
    <w:basedOn w:val="a"/>
    <w:link w:val="Char"/>
    <w:uiPriority w:val="99"/>
    <w:unhideWhenUsed/>
    <w:rsid w:val="00BC3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3D5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3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3D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>China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过海</dc:creator>
  <cp:lastModifiedBy>张芳</cp:lastModifiedBy>
  <cp:revision>2</cp:revision>
  <cp:lastPrinted>2016-03-28T05:04:00Z</cp:lastPrinted>
  <dcterms:created xsi:type="dcterms:W3CDTF">2016-05-13T07:16:00Z</dcterms:created>
  <dcterms:modified xsi:type="dcterms:W3CDTF">2016-05-13T07:16:00Z</dcterms:modified>
</cp:coreProperties>
</file>