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96" w:afterAutospacing="0"/>
        <w:ind w:left="0" w:right="0"/>
        <w:jc w:val="center"/>
        <w:rPr>
          <w:rFonts w:hint="eastAsia" w:ascii="微软雅黑" w:hAnsi="微软雅黑" w:eastAsia="微软雅黑" w:cs="微软雅黑"/>
          <w:b/>
          <w:color w:val="000000"/>
          <w:sz w:val="24"/>
          <w:szCs w:val="24"/>
        </w:rPr>
      </w:pPr>
      <w:bookmarkStart w:id="0" w:name="_GoBack"/>
      <w:r>
        <w:rPr>
          <w:rFonts w:hint="eastAsia" w:ascii="微软雅黑" w:hAnsi="微软雅黑" w:eastAsia="微软雅黑" w:cs="微软雅黑"/>
          <w:b/>
          <w:color w:val="000000"/>
          <w:kern w:val="0"/>
          <w:sz w:val="24"/>
          <w:szCs w:val="24"/>
          <w:shd w:val="clear" w:fill="EFF2F6"/>
          <w:lang w:val="en-US" w:eastAsia="zh-CN" w:bidi="ar"/>
        </w:rPr>
        <w:t>法治建设与法学理论研究部级科研项目管理办法（试行）</w:t>
      </w:r>
    </w:p>
    <w:bookmarkEnd w:id="0"/>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第一章 总则</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第一条为了切实履行国务院赋予司法部指导法学研究工作的职能，加强对司法部法治建设与法学理论研究部级科研项目(以下简称部级科研项目)的规范管理，制定本办法。</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条部级科研项目工作必须坚持以马列主义、毛泽东思想和邓小平理论为指导，坚持党的基本路线、方针和政策，坚持理论联系实际的研究方法，贯彻为人民服务、为社会主义服务和“百花齐放、百家争鸣”的方针。</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条部级科研项目以国家法治建设中的重大理论和实践问题为重点，以推动建设社会主义法治国家为目标，积极研究国家经济、社会发展及改革、开放过程中的法律问题，为国家法治建设中的重大决策提供智力支持。部级科研项目同时兼顾法学学科研究，注重新兴边缘学科研究和跨学科综合研究，推动法学理论的进一步发展和完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第四条部级科研项目面向全国高等院校、科研机构、政府部门、司法机关及法学类社团，通过公平竞争，择优立项。</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五条部级科研项目研究工作实行项目主持人负责制。项目申请人(批准立项后为项目主持人)所在单位负责对本单位申报部级科研项目申请人资格和申报材料的审核工作，负责项目的组织实施、经费使用及相关管理工作。</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第六条部级科研项目设重点项目、一般项目，根据司法实践需要，在年度课题指南范围以外，设立专项任务项目。</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第二章 组织机构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第七条部级科研项目实行专家评审和行政管理相结合的管理方式。日常工作由司法部法规司负责，其职责如下：</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(一)拟定部级科研项目管理办法及相关规章制度;</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(二)拟定部级科研项目中长期规划及年度部级科研项目课题指南;</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(三)办理部级科研项目的申报、评审、审批、中期检查及成果验收，组织部级重点科研项目的成果鉴定，协调解决部级重点科研项目的成果推广、出版;</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(四)承办与部级科研项目相关的学术交流活动;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(五)组织评定部级法学科研成果奖与法学教材奖;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(六)其他相关事宜。</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第八条司法部设立部级科研项目专家咨询与评审委员会(以下简称咨评委)。其职责如下：</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(一)参与草拟部级科研项目中长期规划;</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(二)制定年度部级科研项目课题指南;</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(三)对部级科研项目进行评审立项，对项目经费额度提出建议;评定部级科研成果奖与法学教材奖;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(四)参与部级重点科研项目的中期检查、成果鉴定及推广工作。</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第三章 项目申请与受理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第九条司法部每年发布部级科研项目年度课题指南，年度课题指南一般于该年度第一季度公布。</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第十条全国高等院校、科研机构、政府部门、司法机关及法学类社团中符合下列条件的人员经所在单位同意后，可以申请部级科研项目：</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(一)遵守宪法和法律，坚持马列主义、毛泽东思想和邓小平理论，拥护党的基本路线、方针和政策;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(二)高等院校、科研机构的人员须具有副高以上职称或已取得博士学位;政府部门、司法机关和法学类社团的人员应具有副高以上职称或处级以上职务，本科以上学历，从事与申请项目相关工作5年以上;</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(三)有不少于三人参加的课题组。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因病不能坚持正常工作，或者已出国并仍将在国外停留半年以上，或者在项目研究过程中准备出国停留半年以上的人员，不得申请项目。</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第十一条部级科研项目申请人提出申请时，应向司法部提交如下材料：</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(一)《法治建设与法学理论研究部级科研项目申请评审书》(以下简称《申请评审书》)一式十份及软盘;</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(二)《法治建设与法学理论研究部级科研项目申报登记一览表》一份及软盘。</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申请专项任务项目的，应提供论证报告，接受其他单位委托的，应提供委托书。</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第十二条申请人所在单位或委托单位应对《申请评审书》签署审核意见，并加盖单位法人代表名章和单位公章。</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第十三条对于不符合本办法第十一条、第十二条规定，申请材料不齐全的，不予受理。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w:t>
      </w:r>
      <w:r>
        <w:rPr>
          <w:rStyle w:val="5"/>
          <w:rFonts w:hint="eastAsia" w:ascii="宋体" w:hAnsi="宋体" w:eastAsia="宋体" w:cs="宋体"/>
          <w:color w:val="000000"/>
          <w:sz w:val="16"/>
          <w:szCs w:val="16"/>
          <w:bdr w:val="none" w:color="auto" w:sz="0" w:space="0"/>
          <w:shd w:val="clear" w:fill="FFFFFF"/>
        </w:rPr>
        <w:t>　第四章 项目评议与审批</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第十四条部级科研项目的项目评议分为形式审和实质审。</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形式审指对申报材料的真实性和完整性进行审查，即资格审查。</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实质审指将已通过形式审的申报材料提交咨评委专家会议，由专家对课题设计方案的可行性、经费预算的合理性、预期目标完成的可能性及社会效益等进行评审。实质审又分为初审和复审两个程序。</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第十五条复审应当经过公布候选项目背景材料、专家小组集体评议和无记名差额投票等评审步骤。</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参加评审工作的专家遇到评审本人申请或本单位申请的项目时，应当回避。</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第十六条部级科研项目申请的评审工作按照以下标准进行：</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(一)课题具有重要理论价值或实践意义：(1)具有重要理论价值和实践意义的重大课题;(2)研究新情况、总结新经验、解决新问题的理论探索课题;</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(二)课题选题方向正确，内容充实，论证充分，拟突破的难点明确，研究思路清晰，研究方法科学、可行;</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(三)课题组成人员合理，申请人及课题组成员对课题有一定的研究基础，有一定数量的相关研究成果和一定的资料准备;</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(四)经费申请比较合理。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第十七条对于获三分之二以上多数票的部级科研项目申请，由专家会议向司法部提交立项建议。</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第十八条司法部根据专家会议提交的立项建议，在核定项目经费额度后，批准立项并向申请人发出《法治建设与法学理论研究部级科研项目立项通知书》(以下简称《项目合同书》)。</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申请人应当在规定的时间内签署《项目合同书》并报送司法部。申请人在规定时间内未办理立项手续的，视为自动放弃。</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第十九条《项目合同书》经双方签署后，即为正式立项。司法部对立项结果予以公告。</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第二十条部级科研项目的研究期限一般为两年。项目起始时间从立项公布之日计算，至次年此日的前一日为一个项目管理年度。</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第五章 项目中期检查</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第二十一条部级科研项目的中期检查由司法部组织。一般于立项后第二年度的第三季度进行。</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第二十二条项目主持人应填报《法治建设与法学理论研究部级科研项目中期检查报告书》(以下简称《中期检查报告书》)，由项目主持人所在单位或委托单位签署意见后报司法部。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第二十三条中期检查的内容包括：</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(一)项目主持人及课题组成员是否按课题设计和预定研究进度开展研究工作;</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(二)项目主持人是否对项目承担起实质性的研究工作;</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(三)项目主持人所在单位是否为项目实施提供了必要条件;</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(四)项目经费是否用于项目研究，开支是否合理;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(五)项目的基础性调研、资料整理、专题研讨等工作情况;</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(六)其他相关事项。</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第二十四条对于有下列情形的，司法部可以要求其作出说明，无正当理由的，司法部将作出终止《项目合同书》的决定：</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(一)项目中期检查时，仍未开展项目研究工作的;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(二)项目主持人因条件和能力等因素不能按原计划完成研究任务的;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(三)项目课题组主要成员长期出国或因工作变动、健康等原因不能正常开展研究工作的;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(四)未经批准擅自变更项目主持人或研究课题的;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(五)由于其他原因课题研究工作无法继续进行的。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对于司法部作出终止决定的部级科研项目的项目经费，由该项目主持人所在单位负责追回并退还。</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第六章 课题结项与成果推广</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第二十五条部级科研项目成果通过鉴定验收为结项。如不能及时完成项目者可提出书面延期申请，详细说明申请延长研究期限的理由，报司法部同意。延期申请最多可提出两次，每次延期时限为半年。</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遇有项目主持人亡故、出国不归等情况，可由项目主持人所在单位提出变更项目主持人申请，报司法部核准备案。变更项目主持人的项目研究期限仍以立项公布之日计算。</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部级科研项目成果形式有：学术专著、编著、译著、教材、教学参考书、学术论文、研究报告、调查咨询报告、资料集、工具书、计算机软件及不宜公开发表的具有学术价值或应用价值的文字材料。</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六条重点项目完成后，项目主持人应当如实填写《法治建设与法学理论研究部级科研项目鉴定结项报告书》(以下简称《结项报告书》)，经所在单位或委托单位审验盖章后，将《结项报告书》、软盘及待鉴定成果一式五份报送司法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第二十七条重点项目的成果鉴定，由司法部组织。</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第二十八条一般项目的成果鉴定，由申报单位在司法部指导下组织同行专家进行。专家应具有正高职称，且不少于5人，其中外单位专家不少于五分之三。</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二十九条部级科研项目通过鉴定后，项目主持人应如实填写《结项报告书》并报其所在单位或委托单位，项目主持人所在单位应将《结项报告书》、《法治建设与法学理论研究部级科研项目结项情况一览表》、软盘及两套最终成果报送司法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第三十条部级科研项目鉴定结果分为三个等级：一级在80分以上;二级在60分(含60分)以上;三级为未通过鉴定。</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鉴定结果为一级的，拨第三批项目经费并由司法部协调解决成果出版问题;鉴定结果为二级的，拨第三批项目经费;鉴定结果为三级的，限期一年之内进行修改、补正。经两次申请延期成果鉴定仍不能通过的，部级科研项目合同终止，不予拨付第三批项目经费，项目主持人3年内不得申报部级科研项目。</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第三十一条对于出具虚假鉴定结论的责任人，不再参与项目成果鉴定工作。</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第三十二条通过鉴定验收的成果，由司法部统一颁发《法治建设与法学理论研究部级科研项目结项证书》。</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第三十三条部级科研项目成果发表或出版时，应统一注明“司法部法治建设与法学理论研究部级科研项目成果”字样，并附专家鉴定意见。发表或出版后，应向司法部提供样书(样本)一式五份。</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第三十四条司法部定期公布部级科研项目结项情况。</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第七章 经费管理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第三十五条部级科研项目经费来源分为司法部资助、委托单位资助及申报单位自筹两个渠道。</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司法部资助项目经费由司法部统一拨付，一次核定经费总额，分三次拨付，包干使用，超支不予增补。第一次拨款于立项后拨付，第二次拨款于项目中期检查通过之后，第三次拨款于项目结项之后，每次拨款额度为核定经费总额的三分之一。</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委托单位资助项目和申报单位自筹经费项目参照上款办理。</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第三十六条项目经费由项目主持人所在单位管理，实行专款专用，项目主持人具体负责经费的各项开支，并对不当开支承担赔偿责任。项目经费开支包括：</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(一)图书资料费，指收集资料过程中购买图书、资料的费用以及邮寄、打印、复印、誊录、翻译等费用;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打印费包括调研报告、咨询报告等打印费用和不宜公开出版的研究成果的印刷费用，以及供评审、鉴定用的研究成果的印刷费用;不包括正式出版物的出版补贴;</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(二)国内调查研究费用;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(三)计算机消耗材料和上网费用，此项支出不得超过项目经费的5%;</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(四)与项目有关的小型学术会议或参加相关的学术会议的费用;</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(五)成果鉴定费;</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(六)项目管理费。</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项目经费不允许课题组以外人员使用，不得用于出国和与项目研究无关的开支。</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第三十七条项目经费的使用，受申报单位和委托单位监督。</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第八章 成果评奖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第三十八条为推动法学科研成果的转化与应用，建立科研成果的评价奖励机制。司法部每三年组织评定一次部级法学科研成果奖与法学教材奖。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第三十九条评奖本着公平、公正、公开的原则，对法学科研成果的学术水平、理论创新、社会效益、经济效益，对法学教材的体例规范性、内容的科学性及理论深度的合理性等方面进行客观评价。</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第四十条申报评奖范围和要求：</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(一)申报年之前三年发表、出版的司法部部级科研项目成果和其他法学论文、法学专著及法学教材，论文须为全国性核心期刊上发表的;</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(二)申报评奖人员限于论文的主要撰稿人、教材正副主编、专著作者;</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(三)申报评奖人员须认真填写《司法部部级法学科研成果与法学教材评奖申请表》，并同时报送评奖材料一式三份(专著和教材须原件，论文至少有一份原件)。</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第四十一条评奖分为一等奖、二等奖、三等奖和优秀作品奖四个奖项等级。必要时可设立荣誉奖或特等奖。</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第四十二条评奖由评奖办公室进行初审，由咨评委专家会议复审。复审应当经过公布候选项目背景材料、专家小组集体评议和无记名差额投票等评审步骤。</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第四十三条司法部根据初审和咨评委奖项建议，决定评奖的等级，颁发奖金和获奖证书，并予以公布。</w:t>
      </w:r>
    </w:p>
    <w:p>
      <w:pPr>
        <w:pStyle w:val="2"/>
        <w:keepNext w:val="0"/>
        <w:keepLines w:val="0"/>
        <w:widowControl/>
        <w:suppressLineNumbers w:val="0"/>
        <w:spacing w:before="0" w:beforeAutospacing="0" w:after="0" w:afterAutospacing="0" w:line="324" w:lineRule="atLeast"/>
        <w:ind w:left="0" w:right="0"/>
        <w:jc w:val="left"/>
      </w:pPr>
      <w:r>
        <w:rPr>
          <w:rStyle w:val="5"/>
          <w:rFonts w:hint="eastAsia" w:ascii="宋体" w:hAnsi="宋体" w:eastAsia="宋体" w:cs="宋体"/>
          <w:color w:val="000000"/>
          <w:sz w:val="16"/>
          <w:szCs w:val="16"/>
          <w:bdr w:val="none" w:color="auto" w:sz="0" w:space="0"/>
          <w:shd w:val="clear" w:fill="FFFFFF"/>
        </w:rPr>
        <w:t>　　第九章 附则</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第四十四条本办法由司法部解释。</w:t>
      </w:r>
    </w:p>
    <w:p>
      <w:pPr>
        <w:pStyle w:val="2"/>
        <w:keepNext w:val="0"/>
        <w:keepLines w:val="0"/>
        <w:widowControl/>
        <w:suppressLineNumbers w:val="0"/>
        <w:spacing w:before="0" w:beforeAutospacing="0" w:after="0" w:afterAutospacing="0" w:line="324" w:lineRule="atLeast"/>
        <w:ind w:left="0" w:right="0"/>
        <w:jc w:val="left"/>
      </w:pPr>
      <w:r>
        <w:rPr>
          <w:rFonts w:hint="eastAsia" w:ascii="宋体" w:hAnsi="宋体" w:eastAsia="宋体" w:cs="宋体"/>
          <w:b w:val="0"/>
          <w:color w:val="000000"/>
          <w:sz w:val="16"/>
          <w:szCs w:val="16"/>
          <w:bdr w:val="none" w:color="auto" w:sz="0" w:space="0"/>
          <w:shd w:val="clear" w:fill="FFFFFF"/>
        </w:rPr>
        <w:t>　　第四十五条本办法自发布之日起开始实施。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C5169"/>
    <w:rsid w:val="6FFC5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2020-06-28T06:23:00Z</dcterms:created>
  <dc:creator>邹家珉</dc:creator>
  <cp:lastModifiedBy>邹家珉</cp:lastModifiedBy>
  <dcterms:modified xsi:type="dcterms:W3CDTF">2020-06-28T06:23:53Z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