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CF0EA9" w:rsidRPr="00CF0EA9">
        <w:rPr>
          <w:rFonts w:ascii="宋体" w:hAnsi="宋体"/>
          <w:b/>
          <w:sz w:val="24"/>
          <w:szCs w:val="24"/>
        </w:rPr>
        <w:t>201</w:t>
      </w:r>
      <w:r w:rsidR="00724544">
        <w:rPr>
          <w:rFonts w:ascii="宋体" w:hAnsi="宋体"/>
          <w:b/>
          <w:sz w:val="24"/>
          <w:szCs w:val="24"/>
        </w:rPr>
        <w:t>92</w:t>
      </w:r>
      <w:r w:rsidR="00282C78">
        <w:rPr>
          <w:rFonts w:ascii="宋体" w:hAnsi="宋体"/>
          <w:b/>
          <w:sz w:val="24"/>
          <w:szCs w:val="24"/>
        </w:rPr>
        <w:t>9</w:t>
      </w:r>
      <w:r w:rsidR="00724544">
        <w:rPr>
          <w:rFonts w:ascii="宋体" w:hAnsi="宋体"/>
          <w:b/>
          <w:sz w:val="24"/>
          <w:szCs w:val="24"/>
        </w:rPr>
        <w:t>4</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bookmarkStart w:id="0" w:name="_GoBack"/>
      <w:bookmarkEnd w:id="0"/>
    </w:p>
    <w:p w:rsidR="00CA1EFB" w:rsidRDefault="00CA1EFB" w:rsidP="00583F80">
      <w:pPr>
        <w:spacing w:beforeLines="50" w:afterLines="50" w:line="490" w:lineRule="exact"/>
        <w:jc w:val="center"/>
        <w:rPr>
          <w:rFonts w:ascii="宋体"/>
          <w:b/>
          <w:sz w:val="36"/>
          <w:szCs w:val="36"/>
        </w:rPr>
      </w:pPr>
    </w:p>
    <w:p w:rsidR="000B7FDD" w:rsidRDefault="00282C78" w:rsidP="00583F80">
      <w:pPr>
        <w:spacing w:beforeLines="50" w:afterLines="50" w:line="490" w:lineRule="exact"/>
        <w:jc w:val="center"/>
        <w:rPr>
          <w:rFonts w:ascii="黑体" w:eastAsia="黑体" w:hAnsi="黑体"/>
          <w:b/>
          <w:sz w:val="36"/>
          <w:szCs w:val="36"/>
        </w:rPr>
      </w:pPr>
      <w:r w:rsidRPr="00282C78">
        <w:rPr>
          <w:rFonts w:ascii="黑体" w:eastAsia="黑体" w:hAnsi="黑体" w:hint="eastAsia"/>
          <w:b/>
          <w:sz w:val="36"/>
          <w:szCs w:val="36"/>
        </w:rPr>
        <w:t>上海政法学院图书馆、研究中心、1-3楼食堂、求实楼、庸夫楼电梯维保</w:t>
      </w:r>
      <w:r>
        <w:rPr>
          <w:rFonts w:ascii="黑体" w:eastAsia="黑体" w:hAnsi="黑体" w:hint="eastAsia"/>
          <w:b/>
          <w:sz w:val="36"/>
          <w:szCs w:val="36"/>
        </w:rPr>
        <w:t>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724544">
        <w:rPr>
          <w:rFonts w:ascii="宋体" w:hint="eastAsia"/>
          <w:b/>
          <w:sz w:val="32"/>
        </w:rPr>
        <w:t>九</w:t>
      </w:r>
      <w:r>
        <w:rPr>
          <w:rFonts w:ascii="宋体" w:hint="eastAsia"/>
          <w:b/>
          <w:sz w:val="32"/>
        </w:rPr>
        <w:t>年</w:t>
      </w:r>
      <w:r w:rsidR="00724544">
        <w:rPr>
          <w:rFonts w:ascii="宋体" w:hint="eastAsia"/>
          <w:b/>
          <w:sz w:val="32"/>
        </w:rPr>
        <w:t>十</w:t>
      </w:r>
      <w:r w:rsidR="00282C78">
        <w:rPr>
          <w:rFonts w:ascii="宋体" w:hint="eastAsia"/>
          <w:b/>
          <w:sz w:val="32"/>
        </w:rPr>
        <w:t>二</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282C78" w:rsidRPr="00282C78">
        <w:rPr>
          <w:rFonts w:ascii="宋体" w:hAnsi="宋体" w:cs="Arial" w:hint="eastAsia"/>
          <w:color w:val="333333"/>
          <w:sz w:val="24"/>
          <w:szCs w:val="24"/>
          <w:shd w:val="clear" w:color="auto" w:fill="FFFFFF"/>
        </w:rPr>
        <w:t>上海政法学院图书馆、研究中心、1-3楼食堂、求实楼、庸夫楼电梯维保</w:t>
      </w:r>
      <w:r w:rsidR="00724544" w:rsidRPr="00724544">
        <w:rPr>
          <w:rFonts w:ascii="宋体" w:hAnsi="宋体" w:cs="Arial" w:hint="eastAsia"/>
          <w:color w:val="333333"/>
          <w:sz w:val="24"/>
          <w:szCs w:val="24"/>
          <w:shd w:val="clear" w:color="auto" w:fill="FFFFFF"/>
        </w:rPr>
        <w:t>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724544">
        <w:rPr>
          <w:rFonts w:ascii="宋体" w:hAnsi="宋体" w:cs="Arial"/>
          <w:color w:val="333333"/>
          <w:sz w:val="24"/>
          <w:szCs w:val="24"/>
          <w:shd w:val="clear" w:color="auto" w:fill="FFFFFF"/>
        </w:rPr>
        <w:t>92</w:t>
      </w:r>
      <w:r w:rsidR="00282C78">
        <w:rPr>
          <w:rFonts w:ascii="宋体" w:hAnsi="宋体" w:cs="Arial"/>
          <w:color w:val="333333"/>
          <w:sz w:val="24"/>
          <w:szCs w:val="24"/>
          <w:shd w:val="clear" w:color="auto" w:fill="FFFFFF"/>
        </w:rPr>
        <w:t>9</w:t>
      </w:r>
      <w:r w:rsidR="00724544">
        <w:rPr>
          <w:rFonts w:ascii="宋体" w:hAnsi="宋体" w:cs="Arial"/>
          <w:color w:val="333333"/>
          <w:sz w:val="24"/>
          <w:szCs w:val="24"/>
          <w:shd w:val="clear" w:color="auto" w:fill="FFFFFF"/>
        </w:rPr>
        <w:t>4</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282C78">
        <w:rPr>
          <w:rFonts w:ascii="宋体" w:hAnsi="宋体" w:cs="Arial" w:hint="eastAsia"/>
          <w:color w:val="333333"/>
          <w:sz w:val="24"/>
          <w:szCs w:val="24"/>
          <w:shd w:val="clear" w:color="auto" w:fill="FFFFFF"/>
        </w:rPr>
        <w:t>4.5</w:t>
      </w:r>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282C78" w:rsidRPr="00282C78">
        <w:rPr>
          <w:rFonts w:ascii="宋体" w:hAnsi="宋体" w:cs="Arial" w:hint="eastAsia"/>
          <w:color w:val="333333"/>
          <w:sz w:val="24"/>
          <w:szCs w:val="24"/>
          <w:shd w:val="clear" w:color="auto" w:fill="FFFFFF"/>
        </w:rPr>
        <w:t>2020年3月1日至2021年2月28日</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282C78" w:rsidRPr="00282C78">
        <w:rPr>
          <w:rFonts w:ascii="宋体" w:hAnsi="宋体" w:cs="Arial" w:hint="eastAsia"/>
          <w:color w:val="333333"/>
          <w:sz w:val="24"/>
          <w:szCs w:val="24"/>
          <w:shd w:val="clear" w:color="auto" w:fill="FFFFFF"/>
        </w:rPr>
        <w:t>上海政法学院图书馆、研究中心、1-3楼食堂、求实楼、庸夫楼电梯维保项目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w:t>
      </w:r>
      <w:r w:rsidR="00282C78" w:rsidRPr="00282C78">
        <w:rPr>
          <w:rFonts w:ascii="宋体" w:hAnsi="宋体" w:cs="Arial" w:hint="eastAsia"/>
          <w:color w:val="333333"/>
          <w:sz w:val="24"/>
          <w:szCs w:val="24"/>
          <w:shd w:val="clear" w:color="auto" w:fill="FFFFFF"/>
        </w:rPr>
        <w:t>投标人中华人民共和国境内注册独立法人企业，具有上海特种设备安装许可证资质企业</w:t>
      </w:r>
      <w:r w:rsidRPr="00115C55">
        <w:rPr>
          <w:rFonts w:ascii="宋体" w:hAnsi="宋体" w:cs="Arial" w:hint="eastAsia"/>
          <w:color w:val="333333"/>
          <w:sz w:val="24"/>
          <w:szCs w:val="24"/>
          <w:shd w:val="clear" w:color="auto" w:fill="FFFFFF"/>
        </w:rPr>
        <w:t>。</w:t>
      </w:r>
    </w:p>
    <w:p w:rsidR="00115C55" w:rsidRPr="00115C55" w:rsidRDefault="00115C55" w:rsidP="00282C7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443C1" w:rsidRPr="004021CA" w:rsidRDefault="00115C55" w:rsidP="00282C7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724544">
        <w:rPr>
          <w:rFonts w:ascii="宋体" w:hAnsi="宋体" w:cs="Arial" w:hint="eastAsia"/>
          <w:color w:val="333333"/>
          <w:sz w:val="24"/>
          <w:szCs w:val="24"/>
          <w:shd w:val="clear" w:color="auto" w:fill="FFFFFF"/>
        </w:rPr>
        <w:t>9</w:t>
      </w:r>
      <w:r w:rsidRPr="004021CA">
        <w:rPr>
          <w:rFonts w:ascii="宋体" w:hAnsi="宋体" w:cs="Arial" w:hint="eastAsia"/>
          <w:color w:val="333333"/>
          <w:sz w:val="24"/>
          <w:szCs w:val="24"/>
          <w:shd w:val="clear" w:color="auto" w:fill="FFFFFF"/>
        </w:rPr>
        <w:t>年</w:t>
      </w:r>
      <w:r w:rsidR="00282C78">
        <w:rPr>
          <w:rFonts w:ascii="宋体" w:hAnsi="宋体" w:cs="Arial" w:hint="eastAsia"/>
          <w:color w:val="333333"/>
          <w:sz w:val="24"/>
          <w:szCs w:val="24"/>
          <w:shd w:val="clear" w:color="auto" w:fill="FFFFFF"/>
        </w:rPr>
        <w:t>12</w:t>
      </w:r>
      <w:r w:rsidRPr="004021CA">
        <w:rPr>
          <w:rFonts w:ascii="宋体" w:hAnsi="宋体" w:cs="Arial" w:hint="eastAsia"/>
          <w:color w:val="333333"/>
          <w:sz w:val="24"/>
          <w:szCs w:val="24"/>
          <w:shd w:val="clear" w:color="auto" w:fill="FFFFFF"/>
        </w:rPr>
        <w:t>月</w:t>
      </w:r>
      <w:r w:rsidR="00282C78">
        <w:rPr>
          <w:rFonts w:ascii="宋体" w:hAnsi="宋体" w:cs="Arial" w:hint="eastAsia"/>
          <w:color w:val="333333"/>
          <w:sz w:val="24"/>
          <w:szCs w:val="24"/>
          <w:shd w:val="clear" w:color="auto" w:fill="FFFFFF"/>
        </w:rPr>
        <w:t>24</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w:t>
      </w:r>
      <w:r w:rsidR="00724544">
        <w:rPr>
          <w:rFonts w:ascii="宋体" w:hAnsi="宋体" w:hint="eastAsia"/>
          <w:sz w:val="24"/>
        </w:rPr>
        <w:t>一正三副，</w:t>
      </w:r>
      <w:r w:rsidRPr="002B1CF7">
        <w:rPr>
          <w:rFonts w:ascii="宋体" w:hAnsi="宋体" w:hint="eastAsia"/>
          <w:sz w:val="24"/>
        </w:rPr>
        <w:t>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w:t>
      </w:r>
      <w:r w:rsidR="00724544">
        <w:rPr>
          <w:rFonts w:ascii="宋体" w:hint="eastAsia"/>
          <w:sz w:val="24"/>
        </w:rPr>
        <w:t>9</w:t>
      </w:r>
      <w:r>
        <w:rPr>
          <w:rFonts w:ascii="宋体" w:hint="eastAsia"/>
          <w:sz w:val="24"/>
        </w:rPr>
        <w:t>年</w:t>
      </w:r>
      <w:r w:rsidR="00724544">
        <w:rPr>
          <w:rFonts w:ascii="宋体" w:hint="eastAsia"/>
          <w:sz w:val="24"/>
        </w:rPr>
        <w:t>1</w:t>
      </w:r>
      <w:r w:rsidR="00282C78">
        <w:rPr>
          <w:rFonts w:ascii="宋体" w:hint="eastAsia"/>
          <w:sz w:val="24"/>
        </w:rPr>
        <w:t>2</w:t>
      </w:r>
      <w:r>
        <w:rPr>
          <w:rFonts w:ascii="宋体" w:hint="eastAsia"/>
          <w:sz w:val="24"/>
        </w:rPr>
        <w:t>月</w:t>
      </w:r>
      <w:r w:rsidR="00282C78">
        <w:rPr>
          <w:rFonts w:ascii="宋体" w:hint="eastAsia"/>
          <w:sz w:val="24"/>
        </w:rPr>
        <w:t>16</w:t>
      </w:r>
      <w:r>
        <w:rPr>
          <w:rFonts w:ascii="宋体" w:hint="eastAsia"/>
          <w:sz w:val="24"/>
        </w:rPr>
        <w:t>日</w:t>
      </w:r>
    </w:p>
    <w:p w:rsidR="00CF0EA9" w:rsidRDefault="00CF0EA9" w:rsidP="00635732">
      <w:pPr>
        <w:spacing w:line="360" w:lineRule="auto"/>
        <w:rPr>
          <w:rFonts w:ascii="宋体"/>
          <w:sz w:val="24"/>
        </w:rPr>
      </w:pP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282C78" w:rsidRPr="00282C78">
        <w:rPr>
          <w:rFonts w:ascii="宋体" w:hint="eastAsia"/>
          <w:sz w:val="24"/>
        </w:rPr>
        <w:t>上海政法学院图书馆、研究中心、1-3楼食堂、求实楼、庸夫楼电梯维保项目</w:t>
      </w:r>
    </w:p>
    <w:p w:rsidR="00381841" w:rsidRDefault="00282C78" w:rsidP="004021CA">
      <w:pPr>
        <w:widowControl/>
        <w:autoSpaceDE w:val="0"/>
        <w:autoSpaceDN w:val="0"/>
        <w:spacing w:line="360" w:lineRule="auto"/>
        <w:ind w:firstLine="480"/>
        <w:textAlignment w:val="bottom"/>
        <w:rPr>
          <w:rFonts w:ascii="宋体"/>
          <w:sz w:val="24"/>
        </w:rPr>
      </w:pPr>
      <w:r w:rsidRPr="00282C78">
        <w:rPr>
          <w:rFonts w:ascii="宋体" w:hint="eastAsia"/>
          <w:sz w:val="24"/>
        </w:rPr>
        <w:t>为了确保学校图书馆、研究中心、1-3楼食堂、求实楼、庸夫楼电梯安全运行，拟对进行维护保养。</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724544">
        <w:rPr>
          <w:rFonts w:ascii="宋体" w:hint="eastAsia"/>
          <w:sz w:val="24"/>
          <w:highlight w:val="yellow"/>
          <w:u w:val="single"/>
        </w:rPr>
        <w:t>7</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Default="00012796" w:rsidP="00786B43">
      <w:pPr>
        <w:widowControl/>
        <w:autoSpaceDE w:val="0"/>
        <w:autoSpaceDN w:val="0"/>
        <w:spacing w:line="360" w:lineRule="auto"/>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w:t>
      </w:r>
      <w:r w:rsidR="00724544">
        <w:rPr>
          <w:rFonts w:ascii="宋体" w:hint="eastAsia"/>
          <w:sz w:val="24"/>
          <w:szCs w:val="24"/>
        </w:rPr>
        <w:t>项目</w:t>
      </w:r>
      <w:r w:rsidRPr="0001381F">
        <w:rPr>
          <w:rFonts w:ascii="宋体" w:hint="eastAsia"/>
          <w:sz w:val="24"/>
          <w:szCs w:val="24"/>
        </w:rPr>
        <w:t>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724544" w:rsidRPr="0001381F" w:rsidRDefault="00724544" w:rsidP="00786B43">
      <w:pPr>
        <w:widowControl/>
        <w:autoSpaceDE w:val="0"/>
        <w:autoSpaceDN w:val="0"/>
        <w:spacing w:line="360" w:lineRule="auto"/>
        <w:textAlignment w:val="bottom"/>
        <w:rPr>
          <w:rFonts w:ascii="宋体"/>
          <w:sz w:val="24"/>
          <w:szCs w:val="24"/>
        </w:rPr>
      </w:pPr>
    </w:p>
    <w:p w:rsidR="00381841" w:rsidRPr="00010806" w:rsidRDefault="00724544" w:rsidP="006F19EC">
      <w:pPr>
        <w:adjustRightInd w:val="0"/>
        <w:snapToGrid w:val="0"/>
        <w:spacing w:line="360" w:lineRule="auto"/>
        <w:ind w:firstLine="480"/>
        <w:rPr>
          <w:rFonts w:ascii="宋体"/>
          <w:color w:val="FF0000"/>
          <w:sz w:val="24"/>
        </w:rPr>
      </w:pPr>
      <w:r>
        <w:rPr>
          <w:rFonts w:ascii="宋体"/>
          <w:color w:val="FF0000"/>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b/>
          <w:sz w:val="24"/>
          <w:szCs w:val="24"/>
        </w:rPr>
      </w:pPr>
      <w:r w:rsidRPr="00282C78">
        <w:rPr>
          <w:rFonts w:ascii="华文仿宋" w:eastAsia="华文仿宋" w:hAnsi="华文仿宋" w:hint="eastAsia"/>
          <w:sz w:val="24"/>
          <w:szCs w:val="24"/>
        </w:rPr>
        <w:tab/>
      </w:r>
      <w:r w:rsidRPr="00282C78">
        <w:rPr>
          <w:rFonts w:ascii="华文仿宋" w:eastAsia="华文仿宋" w:hAnsi="华文仿宋" w:hint="eastAsia"/>
          <w:b/>
          <w:sz w:val="24"/>
          <w:szCs w:val="24"/>
        </w:rPr>
        <w:t>维保要求</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1、</w:t>
      </w:r>
      <w:r w:rsidRPr="00282C78">
        <w:rPr>
          <w:rFonts w:ascii="华文仿宋" w:eastAsia="华文仿宋" w:hAnsi="华文仿宋" w:hint="eastAsia"/>
          <w:sz w:val="24"/>
          <w:szCs w:val="24"/>
        </w:rPr>
        <w:tab/>
        <w:t>进行定期保养及调校：</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供应电梯机件之润滑油，并进行润滑工作；保持导轨适当之润滑油，使导轨运行正常；平衡曳引机钢丝绳之张力；对电梯各部位进行电器、机械的调整。</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2、当电梯发生故障时，派遣技术人员及时修理、恢复电梯正常使用；当</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电梯发生紧急关人时，应在30分钟内解救出被困人员。</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3、 各机械部位的保养包括下列各项：</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机房内之曳引机、电动机、控制柜、限速器及抱闸；轿厢挂门滑动组件、自动门组件、风扇及照明；各厅门门锁及挂门滑动组件；井道内之导轨、对重、缓冲器及安全钳装置。</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4、</w:t>
      </w:r>
      <w:r w:rsidRPr="00282C78">
        <w:rPr>
          <w:rFonts w:ascii="华文仿宋" w:eastAsia="华文仿宋" w:hAnsi="华文仿宋" w:hint="eastAsia"/>
          <w:sz w:val="24"/>
          <w:szCs w:val="24"/>
        </w:rPr>
        <w:tab/>
        <w:t>各电器、电子线路的检查包括下列各项：</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4.1各安全电路，包括各安全开关；随行电缆；轿门电路、轿门及厅门之门锁电路；各控制按钮、指示灯电路；各固体电子电路板或电子装置。</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4.2易损件及一般零部件的修理和更换（零件价格另外计算）。各主要零部件的修理和更换（由乙方报价，甲方审批）。</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5、</w:t>
      </w:r>
      <w:r w:rsidRPr="00282C78">
        <w:rPr>
          <w:rFonts w:ascii="华文仿宋" w:eastAsia="华文仿宋" w:hAnsi="华文仿宋" w:hint="eastAsia"/>
          <w:sz w:val="24"/>
          <w:szCs w:val="24"/>
        </w:rPr>
        <w:tab/>
        <w:t>对电梯进行各种功能的检查和调整。</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5.1按乙方标准定时对电梯进行各种性能的检查调整。</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5.2电梯、机房、轿顶、井道内的清洁工作。</w:t>
      </w:r>
    </w:p>
    <w:p w:rsidR="00282C78" w:rsidRPr="00282C78"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5.3当电梯有零件正常损坏时，应及时提供更换配件。</w:t>
      </w:r>
    </w:p>
    <w:p w:rsidR="004021CA" w:rsidRDefault="00282C78" w:rsidP="00282C78">
      <w:pPr>
        <w:widowControl/>
        <w:autoSpaceDE w:val="0"/>
        <w:autoSpaceDN w:val="0"/>
        <w:spacing w:line="360" w:lineRule="auto"/>
        <w:ind w:firstLine="480"/>
        <w:textAlignment w:val="bottom"/>
        <w:rPr>
          <w:rFonts w:ascii="华文仿宋" w:eastAsia="华文仿宋" w:hAnsi="华文仿宋"/>
          <w:sz w:val="24"/>
          <w:szCs w:val="24"/>
        </w:rPr>
      </w:pPr>
      <w:r w:rsidRPr="00282C78">
        <w:rPr>
          <w:rFonts w:ascii="华文仿宋" w:eastAsia="华文仿宋" w:hAnsi="华文仿宋" w:hint="eastAsia"/>
          <w:sz w:val="24"/>
          <w:szCs w:val="24"/>
        </w:rPr>
        <w:t>6、由于乙方责任造成甲方财产损失、人员伤亡或乙方作业人员伤亡，由乙方承担全部责任并赔偿全部损失。</w:t>
      </w:r>
    </w:p>
    <w:p w:rsidR="00F8015B" w:rsidRDefault="00F8015B" w:rsidP="00282C78">
      <w:pPr>
        <w:widowControl/>
        <w:autoSpaceDE w:val="0"/>
        <w:autoSpaceDN w:val="0"/>
        <w:spacing w:line="360" w:lineRule="auto"/>
        <w:ind w:firstLine="480"/>
        <w:textAlignment w:val="bottom"/>
        <w:rPr>
          <w:rFonts w:ascii="宋体"/>
          <w:sz w:val="24"/>
        </w:rPr>
      </w:pPr>
      <w:r w:rsidRPr="00F8015B">
        <w:rPr>
          <w:rFonts w:ascii="华文仿宋" w:eastAsia="华文仿宋" w:hAnsi="华文仿宋" w:hint="eastAsia"/>
          <w:b/>
          <w:sz w:val="24"/>
          <w:szCs w:val="24"/>
        </w:rPr>
        <w:t>付款方法</w:t>
      </w:r>
      <w:r w:rsidRPr="00F8015B">
        <w:rPr>
          <w:rFonts w:ascii="宋体" w:hint="eastAsia"/>
          <w:sz w:val="24"/>
        </w:rPr>
        <w:t>：甲方在2020年4月份、2020年11月份各支付50%款项。</w:t>
      </w:r>
    </w:p>
    <w:p w:rsidR="00F8015B" w:rsidRDefault="00F8015B" w:rsidP="00282C78">
      <w:pPr>
        <w:widowControl/>
        <w:autoSpaceDE w:val="0"/>
        <w:autoSpaceDN w:val="0"/>
        <w:spacing w:line="360" w:lineRule="auto"/>
        <w:ind w:firstLine="480"/>
        <w:textAlignment w:val="bottom"/>
        <w:rPr>
          <w:rFonts w:ascii="宋体"/>
          <w:sz w:val="24"/>
        </w:rPr>
      </w:pPr>
    </w:p>
    <w:p w:rsidR="00F8015B" w:rsidRDefault="00F8015B" w:rsidP="00282C78">
      <w:pPr>
        <w:widowControl/>
        <w:autoSpaceDE w:val="0"/>
        <w:autoSpaceDN w:val="0"/>
        <w:spacing w:line="360" w:lineRule="auto"/>
        <w:ind w:firstLine="480"/>
        <w:textAlignment w:val="bottom"/>
        <w:rPr>
          <w:rFonts w:ascii="宋体"/>
          <w:sz w:val="24"/>
        </w:rPr>
      </w:pPr>
    </w:p>
    <w:p w:rsidR="00F8015B" w:rsidRDefault="00F8015B" w:rsidP="00282C78">
      <w:pPr>
        <w:widowControl/>
        <w:autoSpaceDE w:val="0"/>
        <w:autoSpaceDN w:val="0"/>
        <w:spacing w:line="360" w:lineRule="auto"/>
        <w:ind w:firstLine="480"/>
        <w:textAlignment w:val="bottom"/>
        <w:rPr>
          <w:rFonts w:ascii="宋体"/>
          <w:sz w:val="24"/>
        </w:rPr>
      </w:pPr>
      <w:r w:rsidRPr="00F8015B">
        <w:rPr>
          <w:rFonts w:ascii="华文仿宋" w:eastAsia="华文仿宋" w:hAnsi="华文仿宋" w:hint="eastAsia"/>
          <w:b/>
          <w:sz w:val="24"/>
          <w:szCs w:val="24"/>
        </w:rPr>
        <w:lastRenderedPageBreak/>
        <w:t>设备清单</w:t>
      </w:r>
      <w:r>
        <w:rPr>
          <w:rFonts w:ascii="宋体" w:hint="eastAsia"/>
          <w:sz w:val="24"/>
        </w:rPr>
        <w:t>：</w:t>
      </w:r>
    </w:p>
    <w:tbl>
      <w:tblPr>
        <w:tblW w:w="546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110"/>
        <w:gridCol w:w="1425"/>
        <w:gridCol w:w="1035"/>
        <w:gridCol w:w="960"/>
      </w:tblGrid>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编号</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梯种</w:t>
            </w:r>
          </w:p>
        </w:tc>
        <w:tc>
          <w:tcPr>
            <w:tcW w:w="142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基本型号</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层/站</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数量</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图书馆</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ELENESSA</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2/2</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2</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图书馆</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ELENESSA</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3/3</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3</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图书馆</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ELENESSA</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3/3</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4</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校部楼</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EL</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3/3</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5</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求实楼</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ELENESSA</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5/5</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6</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新食堂</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THJ</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3/3</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r w:rsidR="00F8015B" w:rsidTr="00406975">
        <w:tc>
          <w:tcPr>
            <w:tcW w:w="93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7</w:t>
            </w:r>
          </w:p>
        </w:tc>
        <w:tc>
          <w:tcPr>
            <w:tcW w:w="111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庸夫楼</w:t>
            </w:r>
          </w:p>
        </w:tc>
        <w:tc>
          <w:tcPr>
            <w:tcW w:w="1425" w:type="dxa"/>
            <w:vAlign w:val="center"/>
          </w:tcPr>
          <w:p w:rsidR="00F8015B" w:rsidRPr="00F8015B" w:rsidRDefault="00F8015B" w:rsidP="00406975">
            <w:pPr>
              <w:jc w:val="center"/>
              <w:rPr>
                <w:rFonts w:ascii="宋体" w:hAnsi="宋体"/>
                <w:sz w:val="28"/>
                <w:szCs w:val="28"/>
              </w:rPr>
            </w:pPr>
            <w:r w:rsidRPr="00F8015B">
              <w:rPr>
                <w:rFonts w:ascii="宋体" w:hAnsi="宋体" w:hint="eastAsia"/>
                <w:sz w:val="28"/>
                <w:szCs w:val="28"/>
              </w:rPr>
              <w:t>GPN60K</w:t>
            </w:r>
          </w:p>
        </w:tc>
        <w:tc>
          <w:tcPr>
            <w:tcW w:w="1035"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5/5</w:t>
            </w:r>
          </w:p>
        </w:tc>
        <w:tc>
          <w:tcPr>
            <w:tcW w:w="960" w:type="dxa"/>
          </w:tcPr>
          <w:p w:rsidR="00F8015B" w:rsidRPr="00F8015B" w:rsidRDefault="00F8015B" w:rsidP="00406975">
            <w:pPr>
              <w:jc w:val="center"/>
              <w:rPr>
                <w:rFonts w:ascii="宋体" w:hAnsi="宋体"/>
                <w:sz w:val="28"/>
                <w:szCs w:val="28"/>
              </w:rPr>
            </w:pPr>
            <w:r w:rsidRPr="00F8015B">
              <w:rPr>
                <w:rFonts w:ascii="宋体" w:hAnsi="宋体" w:hint="eastAsia"/>
                <w:sz w:val="28"/>
                <w:szCs w:val="28"/>
              </w:rPr>
              <w:t>1台</w:t>
            </w:r>
          </w:p>
        </w:tc>
      </w:tr>
    </w:tbl>
    <w:p w:rsidR="00F8015B" w:rsidRPr="00724544" w:rsidRDefault="00F8015B" w:rsidP="00282C78">
      <w:pPr>
        <w:widowControl/>
        <w:autoSpaceDE w:val="0"/>
        <w:autoSpaceDN w:val="0"/>
        <w:spacing w:line="360" w:lineRule="auto"/>
        <w:ind w:firstLine="480"/>
        <w:textAlignment w:val="bottom"/>
        <w:rPr>
          <w:rFonts w:ascii="宋体"/>
          <w:sz w:val="24"/>
        </w:rPr>
      </w:pPr>
    </w:p>
    <w:p w:rsidR="00381841" w:rsidRDefault="00F8015B" w:rsidP="00786B43">
      <w:pPr>
        <w:spacing w:line="360" w:lineRule="auto"/>
        <w:jc w:val="center"/>
        <w:outlineLvl w:val="0"/>
        <w:rPr>
          <w:rFonts w:ascii="宋体"/>
          <w:b/>
          <w:sz w:val="28"/>
        </w:rPr>
      </w:pPr>
      <w:r>
        <w:rPr>
          <w:rFonts w:ascii="宋体"/>
          <w:b/>
          <w:sz w:val="28"/>
        </w:rPr>
        <w:br w:type="page"/>
      </w:r>
      <w:r w:rsidR="00FA204F">
        <w:rPr>
          <w:rFonts w:ascii="宋体" w:hint="eastAsia"/>
          <w:b/>
          <w:sz w:val="28"/>
        </w:rPr>
        <w:lastRenderedPageBreak/>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724544" w:rsidP="006F19EC">
      <w:pPr>
        <w:spacing w:line="360" w:lineRule="auto"/>
        <w:ind w:firstLine="480"/>
        <w:rPr>
          <w:rFonts w:ascii="宋体"/>
          <w:sz w:val="24"/>
        </w:rPr>
      </w:pPr>
      <w:r>
        <w:rPr>
          <w:rFonts w:ascii="宋体"/>
          <w:sz w:val="24"/>
        </w:rPr>
        <w:t>7、</w:t>
      </w:r>
      <w:r>
        <w:rPr>
          <w:rFonts w:ascii="宋体" w:hint="eastAsia"/>
          <w:sz w:val="24"/>
        </w:rPr>
        <w:t>纳税与社保缴款凭证</w:t>
      </w:r>
    </w:p>
    <w:p w:rsidR="00015325" w:rsidRDefault="00724544" w:rsidP="006F19EC">
      <w:pPr>
        <w:spacing w:line="360" w:lineRule="auto"/>
        <w:ind w:firstLine="480"/>
        <w:rPr>
          <w:rFonts w:ascii="宋体"/>
          <w:sz w:val="24"/>
        </w:rPr>
      </w:pPr>
      <w:r>
        <w:rPr>
          <w:rFonts w:ascii="宋体"/>
          <w:sz w:val="24"/>
        </w:rPr>
        <w:t>8、</w:t>
      </w:r>
      <w:r>
        <w:rPr>
          <w:rFonts w:ascii="宋体" w:hint="eastAsia"/>
          <w:sz w:val="24"/>
        </w:rPr>
        <w:t>财务报表</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583F80">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583F80">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Default="00635732"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Pr="00AF1975" w:rsidRDefault="00670609" w:rsidP="00670609">
      <w:pPr>
        <w:jc w:val="left"/>
        <w:rPr>
          <w:rFonts w:ascii="宋体" w:hAnsi="宋体"/>
          <w:szCs w:val="21"/>
        </w:rPr>
      </w:pPr>
      <w:r>
        <w:rPr>
          <w:rFonts w:ascii="宋体" w:hAnsi="宋体" w:hint="eastAsia"/>
          <w:szCs w:val="21"/>
        </w:rPr>
        <w:lastRenderedPageBreak/>
        <w:t>其他需要的文件（格式自拟）</w:t>
      </w:r>
    </w:p>
    <w:sectPr w:rsidR="00670609"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8C1" w:rsidRDefault="000318C1">
      <w:r>
        <w:separator/>
      </w:r>
    </w:p>
  </w:endnote>
  <w:endnote w:type="continuationSeparator" w:id="1">
    <w:p w:rsidR="000318C1" w:rsidRDefault="0003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7340B2" w:rsidP="00583F80">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583F80">
      <w:rPr>
        <w:rStyle w:val="a8"/>
        <w:noProof/>
        <w:sz w:val="18"/>
      </w:rPr>
      <w:t>1</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8C1" w:rsidRDefault="000318C1">
      <w:r>
        <w:separator/>
      </w:r>
    </w:p>
  </w:footnote>
  <w:footnote w:type="continuationSeparator" w:id="1">
    <w:p w:rsidR="000318C1" w:rsidRDefault="0003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18C1"/>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0D66"/>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2C78"/>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1BDB"/>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3F80"/>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0609"/>
    <w:rsid w:val="00672CF8"/>
    <w:rsid w:val="00672DB3"/>
    <w:rsid w:val="00673728"/>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4544"/>
    <w:rsid w:val="0072623B"/>
    <w:rsid w:val="0073121D"/>
    <w:rsid w:val="007318F0"/>
    <w:rsid w:val="007340B2"/>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47CAD"/>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015B"/>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340B2"/>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7340B2"/>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7340B2"/>
    <w:rPr>
      <w:rFonts w:ascii="仿宋_GB2312" w:eastAsia="仿宋_GB2312"/>
      <w:b/>
      <w:sz w:val="32"/>
    </w:rPr>
  </w:style>
  <w:style w:type="paragraph" w:styleId="a6">
    <w:name w:val="Body Text Indent"/>
    <w:basedOn w:val="a1"/>
    <w:rsid w:val="007340B2"/>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7340B2"/>
    <w:rPr>
      <w:rFonts w:ascii="宋体" w:hAnsi="Courier New"/>
    </w:rPr>
  </w:style>
  <w:style w:type="character" w:styleId="a8">
    <w:name w:val="page number"/>
    <w:basedOn w:val="a2"/>
    <w:rsid w:val="007340B2"/>
  </w:style>
  <w:style w:type="paragraph" w:styleId="a9">
    <w:name w:val="footer"/>
    <w:basedOn w:val="a1"/>
    <w:link w:val="Char0"/>
    <w:uiPriority w:val="99"/>
    <w:rsid w:val="007340B2"/>
    <w:pPr>
      <w:tabs>
        <w:tab w:val="center" w:pos="4153"/>
        <w:tab w:val="right" w:pos="8306"/>
      </w:tabs>
      <w:snapToGrid w:val="0"/>
      <w:jc w:val="left"/>
    </w:pPr>
    <w:rPr>
      <w:sz w:val="18"/>
      <w:lang/>
    </w:rPr>
  </w:style>
  <w:style w:type="paragraph" w:styleId="2">
    <w:name w:val="Body Text Indent 2"/>
    <w:basedOn w:val="a1"/>
    <w:rsid w:val="007340B2"/>
    <w:pPr>
      <w:spacing w:line="500" w:lineRule="atLeast"/>
      <w:ind w:right="-191" w:firstLine="567"/>
    </w:pPr>
    <w:rPr>
      <w:rFonts w:ascii="宋体"/>
      <w:sz w:val="24"/>
    </w:rPr>
  </w:style>
  <w:style w:type="paragraph" w:styleId="aa">
    <w:name w:val="Body Text"/>
    <w:basedOn w:val="a1"/>
    <w:rsid w:val="007340B2"/>
    <w:pPr>
      <w:snapToGrid w:val="0"/>
      <w:spacing w:line="360" w:lineRule="auto"/>
      <w:jc w:val="center"/>
    </w:pPr>
    <w:rPr>
      <w:sz w:val="24"/>
    </w:rPr>
  </w:style>
  <w:style w:type="paragraph" w:styleId="ab">
    <w:name w:val="header"/>
    <w:basedOn w:val="a1"/>
    <w:rsid w:val="007340B2"/>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7340B2"/>
    <w:pPr>
      <w:jc w:val="left"/>
    </w:pPr>
  </w:style>
  <w:style w:type="paragraph" w:styleId="ad">
    <w:name w:val="Body Text First Indent"/>
    <w:basedOn w:val="aa"/>
    <w:rsid w:val="007340B2"/>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7340B2"/>
    <w:pPr>
      <w:shd w:val="clear" w:color="auto" w:fill="000080"/>
    </w:pPr>
  </w:style>
  <w:style w:type="paragraph" w:customStyle="1" w:styleId="20">
    <w:name w:val="重要文字2"/>
    <w:basedOn w:val="10"/>
    <w:autoRedefine/>
    <w:rsid w:val="007340B2"/>
    <w:pPr>
      <w:widowControl/>
      <w:autoSpaceDE w:val="0"/>
      <w:autoSpaceDN w:val="0"/>
      <w:spacing w:line="360" w:lineRule="auto"/>
      <w:ind w:firstLine="480"/>
      <w:textAlignment w:val="bottom"/>
    </w:pPr>
    <w:rPr>
      <w:rFonts w:ascii="宋体"/>
    </w:rPr>
  </w:style>
  <w:style w:type="paragraph" w:customStyle="1" w:styleId="10">
    <w:name w:val="重要文字1"/>
    <w:basedOn w:val="a1"/>
    <w:rsid w:val="007340B2"/>
    <w:pPr>
      <w:ind w:firstLineChars="200" w:firstLine="200"/>
    </w:pPr>
    <w:rPr>
      <w:sz w:val="24"/>
    </w:rPr>
  </w:style>
  <w:style w:type="paragraph" w:customStyle="1" w:styleId="af">
    <w:name w:val="标题一"/>
    <w:basedOn w:val="a1"/>
    <w:autoRedefine/>
    <w:rsid w:val="007340B2"/>
    <w:pPr>
      <w:jc w:val="left"/>
    </w:pPr>
    <w:rPr>
      <w:rFonts w:ascii="宋体" w:hAnsi="宋体"/>
      <w:b/>
      <w:bCs/>
      <w:color w:val="FF0000"/>
      <w:sz w:val="28"/>
    </w:rPr>
  </w:style>
  <w:style w:type="paragraph" w:customStyle="1" w:styleId="21">
    <w:name w:val="样式2"/>
    <w:basedOn w:val="a1"/>
    <w:next w:val="a1"/>
    <w:rsid w:val="007340B2"/>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7340B2"/>
    <w:rPr>
      <w:sz w:val="24"/>
    </w:rPr>
  </w:style>
  <w:style w:type="paragraph" w:customStyle="1" w:styleId="af1">
    <w:name w:val="表格标题"/>
    <w:basedOn w:val="a1"/>
    <w:autoRedefine/>
    <w:rsid w:val="007340B2"/>
    <w:pPr>
      <w:ind w:firstLineChars="1200" w:firstLine="2523"/>
    </w:pPr>
    <w:rPr>
      <w:rFonts w:ascii="宋体" w:hAnsi="宋体"/>
      <w:b/>
      <w:color w:val="FF0000"/>
      <w:szCs w:val="21"/>
    </w:rPr>
  </w:style>
  <w:style w:type="paragraph" w:customStyle="1" w:styleId="af2">
    <w:name w:val="表格一"/>
    <w:basedOn w:val="a1"/>
    <w:autoRedefine/>
    <w:rsid w:val="007340B2"/>
    <w:pPr>
      <w:ind w:firstLineChars="80" w:firstLine="168"/>
      <w:jc w:val="left"/>
    </w:pPr>
    <w:rPr>
      <w:rFonts w:ascii="宋体" w:hAnsi="宋体"/>
      <w:szCs w:val="24"/>
    </w:rPr>
  </w:style>
  <w:style w:type="paragraph" w:styleId="3">
    <w:name w:val="Body Text Indent 3"/>
    <w:basedOn w:val="a1"/>
    <w:rsid w:val="007340B2"/>
    <w:pPr>
      <w:ind w:firstLine="555"/>
    </w:pPr>
    <w:rPr>
      <w:sz w:val="28"/>
    </w:rPr>
  </w:style>
  <w:style w:type="paragraph" w:styleId="22">
    <w:name w:val="Body Text 2"/>
    <w:basedOn w:val="a1"/>
    <w:rsid w:val="007340B2"/>
    <w:pPr>
      <w:spacing w:line="520" w:lineRule="atLeast"/>
      <w:jc w:val="center"/>
    </w:pPr>
    <w:rPr>
      <w:rFonts w:ascii="宋体"/>
      <w:b/>
      <w:sz w:val="44"/>
      <w:szCs w:val="30"/>
    </w:rPr>
  </w:style>
  <w:style w:type="paragraph" w:styleId="af3">
    <w:name w:val="Normal Indent"/>
    <w:aliases w:val="ind:txt"/>
    <w:basedOn w:val="a1"/>
    <w:rsid w:val="007340B2"/>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7340B2"/>
    <w:pPr>
      <w:widowControl/>
      <w:spacing w:before="100" w:beforeAutospacing="1" w:after="100" w:afterAutospacing="1"/>
      <w:jc w:val="left"/>
    </w:pPr>
    <w:rPr>
      <w:rFonts w:ascii="宋体" w:hAnsi="宋体"/>
      <w:kern w:val="0"/>
      <w:sz w:val="24"/>
      <w:szCs w:val="24"/>
    </w:rPr>
  </w:style>
  <w:style w:type="paragraph" w:styleId="af5">
    <w:name w:val="Block Text"/>
    <w:basedOn w:val="a1"/>
    <w:rsid w:val="007340B2"/>
    <w:pPr>
      <w:spacing w:line="520" w:lineRule="exact"/>
      <w:ind w:leftChars="456" w:left="958" w:rightChars="-10" w:right="-21"/>
    </w:pPr>
    <w:rPr>
      <w:rFonts w:ascii="宋体" w:hAnsi="宋体"/>
      <w:sz w:val="24"/>
      <w:szCs w:val="24"/>
    </w:rPr>
  </w:style>
  <w:style w:type="character" w:styleId="af6">
    <w:name w:val="Strong"/>
    <w:qFormat/>
    <w:rsid w:val="007340B2"/>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12E1-E2DF-4A61-88A0-8CBE3551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Words>
  <Characters>2374</Characters>
  <Application>Microsoft Office Word</Application>
  <DocSecurity>0</DocSecurity>
  <Lines>19</Lines>
  <Paragraphs>5</Paragraphs>
  <ScaleCrop>false</ScaleCrop>
  <Company>上海第一测量师事务所有限公司</Company>
  <LinksUpToDate>false</LinksUpToDate>
  <CharactersWithSpaces>2785</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2019-12-17T01:30:00Z</dcterms:created>
  <dcterms:modified xsi:type="dcterms:W3CDTF">2019-12-17T01:30:00Z</dcterms:modified>
</cp:coreProperties>
</file>