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 w:bidi="ar"/>
        </w:rPr>
        <w:t>国家检察官学院2020年度科研基金资助项目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课题指南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630" w:leftChars="0" w:right="0" w:rightChars="0"/>
        <w:jc w:val="left"/>
        <w:rPr>
          <w:rFonts w:hint="eastAsia" w:ascii="黑体" w:hAnsi="黑体" w:eastAsia="黑体" w:cs="黑体"/>
          <w:b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"/>
        </w:rPr>
        <w:t>一、重大项目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Times New Roman"/>
          <w:b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法律监督体系和监督能力现代化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kern w:val="2"/>
          <w:sz w:val="32"/>
          <w:szCs w:val="32"/>
          <w:lang w:val="en-US" w:eastAsia="zh-CN" w:bidi="ar"/>
        </w:rPr>
        <w:t>二、重点项目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政治建设融入检察教育培训研究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民法典的司法适用与检察实务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行政检察监督基础理论研究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域外检察权运行实践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</w:rPr>
      </w:pPr>
      <w:r>
        <w:rPr>
          <w:rFonts w:hint="eastAsia" w:ascii="黑体" w:hAnsi="宋体" w:eastAsia="黑体" w:cs="黑体"/>
          <w:b w:val="0"/>
          <w:kern w:val="2"/>
          <w:sz w:val="32"/>
          <w:szCs w:val="32"/>
          <w:lang w:val="en-US" w:eastAsia="zh-CN" w:bidi="ar"/>
        </w:rPr>
        <w:t>三、一般项目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网络犯罪重点问题实证研究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民营企业司法保护与检察职能发挥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金融风险防范化解与检察职能发挥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捕诉一体办案机制与两项监督研究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认罪认罚案件量刑建议精准化实证研究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涉众型经济犯罪证据问题研究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罪错未成年人分级处遇研究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民事诉讼精准监督研究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虚假诉讼监督疑难问题研究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行政诉讼监督实务研究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行政争议实质性化解的检察实务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行政非诉执行监督实证研究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检察公益诉讼诉权理论研究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检察公益诉讼规则特殊性研究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检察公益诉讼惩罚性赔偿研究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新时代检察机关内部监督制约机制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新时代检察业务态势分析与辅助决策研判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新一代信息技术与检察业务融合发展研究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D6C58"/>
    <w:multiLevelType w:val="multilevel"/>
    <w:tmpl w:val="83ED6C5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763D1"/>
    <w:rsid w:val="0C5F5AAE"/>
    <w:rsid w:val="0FBB486E"/>
    <w:rsid w:val="127D597A"/>
    <w:rsid w:val="1A451EB1"/>
    <w:rsid w:val="1DA30C09"/>
    <w:rsid w:val="354C771B"/>
    <w:rsid w:val="4F950215"/>
    <w:rsid w:val="534C543B"/>
    <w:rsid w:val="56A15777"/>
    <w:rsid w:val="5B482B78"/>
    <w:rsid w:val="5FC24527"/>
    <w:rsid w:val="63C24425"/>
    <w:rsid w:val="755E4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liuyajuan</dc:creator>
  <cp:lastModifiedBy>翟望明</cp:lastModifiedBy>
  <cp:lastPrinted>2020-01-10T02:22:44Z</cp:lastPrinted>
  <dcterms:modified xsi:type="dcterms:W3CDTF">2020-01-16T07:37:01Z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