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D1" w:rsidRDefault="00D229D1" w:rsidP="00D229D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附件：</w:t>
      </w:r>
    </w:p>
    <w:p w:rsidR="00D229D1" w:rsidRDefault="00D229D1" w:rsidP="00D229D1">
      <w:pPr>
        <w:rPr>
          <w:sz w:val="22"/>
          <w:szCs w:val="24"/>
        </w:rPr>
      </w:pPr>
    </w:p>
    <w:p w:rsidR="00D229D1" w:rsidRPr="00990C2E" w:rsidRDefault="00D229D1" w:rsidP="00D229D1">
      <w:pPr>
        <w:jc w:val="center"/>
        <w:rPr>
          <w:b/>
          <w:bCs/>
        </w:rPr>
      </w:pPr>
      <w:r w:rsidRPr="00990C2E">
        <w:rPr>
          <w:rFonts w:hint="eastAsia"/>
          <w:b/>
          <w:bCs/>
          <w:sz w:val="28"/>
          <w:szCs w:val="32"/>
        </w:rPr>
        <w:t>《“一带一路”法律研究》</w:t>
      </w:r>
      <w:r>
        <w:rPr>
          <w:rFonts w:hint="eastAsia"/>
          <w:b/>
          <w:bCs/>
          <w:sz w:val="28"/>
          <w:szCs w:val="32"/>
        </w:rPr>
        <w:t>简明</w:t>
      </w:r>
      <w:r w:rsidRPr="00990C2E">
        <w:rPr>
          <w:rFonts w:hint="eastAsia"/>
          <w:b/>
          <w:bCs/>
          <w:sz w:val="28"/>
          <w:szCs w:val="32"/>
        </w:rPr>
        <w:t>注释体例</w:t>
      </w:r>
    </w:p>
    <w:p w:rsidR="00D229D1" w:rsidRDefault="00D229D1" w:rsidP="00D229D1"/>
    <w:p w:rsidR="00D229D1" w:rsidRPr="00946538" w:rsidRDefault="00D229D1" w:rsidP="00D229D1">
      <w:pPr>
        <w:rPr>
          <w:b/>
          <w:bCs/>
          <w:sz w:val="24"/>
          <w:szCs w:val="28"/>
        </w:rPr>
      </w:pPr>
      <w:r w:rsidRPr="00946538">
        <w:rPr>
          <w:rFonts w:hint="eastAsia"/>
          <w:b/>
          <w:bCs/>
          <w:sz w:val="24"/>
          <w:szCs w:val="28"/>
        </w:rPr>
        <w:t>一、注释规范示例</w:t>
      </w:r>
    </w:p>
    <w:p w:rsidR="00D229D1" w:rsidRDefault="00D229D1" w:rsidP="00D229D1">
      <w:r>
        <w:rPr>
          <w:rFonts w:hint="eastAsia"/>
        </w:rPr>
        <w:t>（一）引用书籍的基本格式为：</w:t>
      </w:r>
    </w:p>
    <w:p w:rsidR="00D229D1" w:rsidRDefault="00D229D1" w:rsidP="00D229D1">
      <w:r>
        <w:rPr>
          <w:rFonts w:hint="eastAsia"/>
        </w:rPr>
        <w:t>1、</w:t>
      </w:r>
      <w:r>
        <w:t>张新宝：《 侵权责任法》（第 4 版），中国人民大学出版社 2016 年版，</w:t>
      </w:r>
      <w:r>
        <w:rPr>
          <w:rFonts w:hint="eastAsia"/>
        </w:rPr>
        <w:t>第</w:t>
      </w:r>
      <w:r>
        <w:t xml:space="preserve"> 73-75 页。 </w:t>
      </w:r>
    </w:p>
    <w:p w:rsidR="00D229D1" w:rsidRDefault="00D229D1" w:rsidP="00D229D1">
      <w:r>
        <w:t>2</w:t>
      </w:r>
      <w:r>
        <w:rPr>
          <w:rFonts w:hint="eastAsia"/>
        </w:rPr>
        <w:t>、</w:t>
      </w:r>
      <w:r>
        <w:t xml:space="preserve"> [美]富勒：《法律的道德性》，郑戈译，商务印书馆 2005 年版</w:t>
      </w:r>
      <w:r>
        <w:rPr>
          <w:rFonts w:hint="eastAsia"/>
        </w:rPr>
        <w:t>，第</w:t>
      </w:r>
      <w:r>
        <w:t xml:space="preserve"> 13-15 页。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（二）引用已刊发文章的基本格式为：</w:t>
      </w:r>
    </w:p>
    <w:p w:rsidR="00D229D1" w:rsidRDefault="00D229D1" w:rsidP="00D229D1">
      <w:r>
        <w:rPr>
          <w:rFonts w:hint="eastAsia"/>
        </w:rPr>
        <w:t>1、</w:t>
      </w:r>
      <w:r>
        <w:t>季卫东：《法律程序的意义：对中国法制建设的另一种思考》，载《中</w:t>
      </w:r>
      <w:r>
        <w:rPr>
          <w:rFonts w:hint="eastAsia"/>
        </w:rPr>
        <w:t>国社会科学》</w:t>
      </w:r>
      <w:r>
        <w:t xml:space="preserve">1993 年第 1 期。 </w:t>
      </w:r>
    </w:p>
    <w:p w:rsidR="00D229D1" w:rsidRDefault="00D229D1" w:rsidP="00D229D1">
      <w:r>
        <w:rPr>
          <w:rFonts w:hint="eastAsia"/>
        </w:rPr>
        <w:t>2、</w:t>
      </w:r>
      <w:r>
        <w:t>王保树：《股份有限公司机关构造中的董事和董事会》，载梁慧星主编：</w:t>
      </w:r>
      <w:r>
        <w:rPr>
          <w:rFonts w:hint="eastAsia"/>
        </w:rPr>
        <w:t>《民商法论丛》第</w:t>
      </w:r>
      <w:r>
        <w:t xml:space="preserve"> 1 卷，法律出版社 1994 年版，第 110 页。 </w:t>
      </w:r>
    </w:p>
    <w:p w:rsidR="00D229D1" w:rsidRDefault="00D229D1" w:rsidP="00D229D1">
      <w:r>
        <w:rPr>
          <w:rFonts w:hint="eastAsia"/>
        </w:rPr>
        <w:t>3、</w:t>
      </w:r>
      <w:r>
        <w:t>[美]欧中坦：《千方百计上京城：清朝的京控》，谢鹏程译，载高道蕴</w:t>
      </w:r>
      <w:r>
        <w:rPr>
          <w:rFonts w:hint="eastAsia"/>
        </w:rPr>
        <w:t>等编：《美国学者论中国法律传统》，中国政法大学出版社</w:t>
      </w:r>
      <w:r>
        <w:t xml:space="preserve"> 1994 年版</w:t>
      </w:r>
      <w:r>
        <w:rPr>
          <w:rFonts w:hint="eastAsia"/>
        </w:rPr>
        <w:t>，</w:t>
      </w:r>
      <w:r>
        <w:t xml:space="preserve">第89 页。 </w:t>
      </w:r>
    </w:p>
    <w:p w:rsidR="00D229D1" w:rsidRDefault="00D229D1" w:rsidP="00D229D1">
      <w:r>
        <w:rPr>
          <w:rFonts w:hint="eastAsia"/>
        </w:rPr>
        <w:t>4、</w:t>
      </w:r>
      <w:r>
        <w:t xml:space="preserve">何海波：《判决书上网》，载《法制日报》2000 年 5 月 21 日，第 2 版。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（三）引用网络文章的基本格式为：</w:t>
      </w:r>
    </w:p>
    <w:p w:rsidR="00D229D1" w:rsidRDefault="00D229D1" w:rsidP="00D229D1">
      <w:r>
        <w:t>1</w:t>
      </w:r>
      <w:r>
        <w:rPr>
          <w:rFonts w:hint="eastAsia"/>
        </w:rPr>
        <w:t>、</w:t>
      </w:r>
      <w:r>
        <w:t>汪波：《哈尔滨市政法机关正对“宝马案”认真调查复查》，载人民网2004年1月10日，http://www.people.com.cn/GB/shehui/1062/2289764.html。</w:t>
      </w:r>
    </w:p>
    <w:p w:rsidR="00D229D1" w:rsidRDefault="00D229D1" w:rsidP="00D229D1">
      <w:r>
        <w:t>2</w:t>
      </w:r>
      <w:r>
        <w:rPr>
          <w:rFonts w:hint="eastAsia"/>
        </w:rPr>
        <w:t>、</w:t>
      </w:r>
      <w:r>
        <w:t>《温家宝主持国务院会议 研究房地产业健康发展措施》，载新华网，</w:t>
      </w:r>
      <w:r>
        <w:lastRenderedPageBreak/>
        <w:t>http://news.xinhuanet.com/newscenter/2006-05/17/content_4562304.htm 。</w:t>
      </w:r>
    </w:p>
    <w:p w:rsidR="00D229D1" w:rsidRDefault="00D229D1" w:rsidP="00D229D1">
      <w:r>
        <w:t>3</w:t>
      </w:r>
      <w:r>
        <w:rPr>
          <w:rFonts w:hint="eastAsia"/>
        </w:rPr>
        <w:t>、</w:t>
      </w:r>
      <w:r>
        <w:t>赵耀彤：《一名基层法官眼里好律师的样子》， 载微信公众号“中国</w:t>
      </w:r>
      <w:r>
        <w:rPr>
          <w:rFonts w:hint="eastAsia"/>
        </w:rPr>
        <w:t>法律评论”，</w:t>
      </w:r>
      <w:r>
        <w:t xml:space="preserve">2018 年 12 月 1 日。 </w:t>
      </w:r>
    </w:p>
    <w:p w:rsidR="00D229D1" w:rsidRDefault="00D229D1" w:rsidP="00D229D1">
      <w:r>
        <w:rPr>
          <w:rFonts w:hint="eastAsia"/>
        </w:rPr>
        <w:t>4、</w:t>
      </w:r>
      <w:r>
        <w:t>参见法国行政法院网站</w:t>
      </w:r>
      <w:r>
        <w:rPr>
          <w:rFonts w:hint="eastAsia"/>
        </w:rPr>
        <w:t>，</w:t>
      </w:r>
      <w:r>
        <w:t>http://english.conseil</w:t>
      </w:r>
      <w:r>
        <w:rPr>
          <w:rFonts w:hint="eastAsia"/>
        </w:rPr>
        <w:t>-</w:t>
      </w:r>
      <w:r>
        <w:t xml:space="preserve">etat.fr/Judging, 2019 年 12 月 18 日访问。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（四）引用学位论文的基本格式为：</w:t>
      </w:r>
    </w:p>
    <w:p w:rsidR="00D229D1" w:rsidRDefault="00D229D1" w:rsidP="00D229D1">
      <w:r>
        <w:rPr>
          <w:rFonts w:hint="eastAsia"/>
        </w:rPr>
        <w:t>1、</w:t>
      </w:r>
      <w:r>
        <w:t>李松锋：《游走在上帝与凯撒之间：美国宪法第一修正案中的政教</w:t>
      </w:r>
      <w:r>
        <w:rPr>
          <w:rFonts w:hint="eastAsia"/>
        </w:rPr>
        <w:t>关系研究》，中国政法大学</w:t>
      </w:r>
      <w:r>
        <w:t xml:space="preserve"> 2015 年博士学位论文</w:t>
      </w:r>
      <w:r>
        <w:rPr>
          <w:rFonts w:hint="eastAsia"/>
        </w:rPr>
        <w:t>，第</w:t>
      </w:r>
      <w:r>
        <w:t>110</w:t>
      </w:r>
      <w:r>
        <w:rPr>
          <w:rFonts w:hint="eastAsia"/>
        </w:rPr>
        <w:t>页</w:t>
      </w:r>
      <w:r>
        <w:t xml:space="preserve">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（五）引用法律文件的基本格式为：</w:t>
      </w:r>
    </w:p>
    <w:p w:rsidR="00D229D1" w:rsidRDefault="00D229D1" w:rsidP="00D229D1">
      <w:r>
        <w:rPr>
          <w:rFonts w:hint="eastAsia"/>
        </w:rPr>
        <w:t>1、</w:t>
      </w:r>
      <w:r>
        <w:t xml:space="preserve">《民法总则》第 27 条第 2 款第 3 项 </w:t>
      </w:r>
    </w:p>
    <w:p w:rsidR="00D229D1" w:rsidRDefault="00D229D1" w:rsidP="00D229D1">
      <w:r>
        <w:rPr>
          <w:rFonts w:hint="eastAsia"/>
        </w:rPr>
        <w:t>2、</w:t>
      </w:r>
      <w:r>
        <w:t xml:space="preserve">《国务院关于在全国建立农村最低生活保障制度的通知》，国发〔2007〕19 号，2007 年 7 月 11 日发布。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（六）引用司法案例的基本格式为：</w:t>
      </w:r>
    </w:p>
    <w:p w:rsidR="00D229D1" w:rsidRDefault="00D229D1" w:rsidP="00D229D1">
      <w:r>
        <w:rPr>
          <w:rFonts w:hint="eastAsia"/>
        </w:rPr>
        <w:t>1、</w:t>
      </w:r>
      <w:r>
        <w:t>包郑照诉苍南县人民政府强制拆除房屋案，浙江省高级人民法院</w:t>
      </w:r>
      <w:r>
        <w:rPr>
          <w:rFonts w:hint="eastAsia"/>
        </w:rPr>
        <w:t>（</w:t>
      </w:r>
      <w:r>
        <w:t xml:space="preserve">1988）浙法民上字 7 号民事判决书。 </w:t>
      </w:r>
    </w:p>
    <w:p w:rsidR="00D229D1" w:rsidRDefault="00D229D1" w:rsidP="00D229D1">
      <w:r>
        <w:rPr>
          <w:rFonts w:hint="eastAsia"/>
        </w:rPr>
        <w:t>2、</w:t>
      </w:r>
      <w:r>
        <w:t>陆红霞诉南通市发改委政府信息公开案，《最高人民法院公报》2015</w:t>
      </w:r>
      <w:r>
        <w:rPr>
          <w:rFonts w:hint="eastAsia"/>
        </w:rPr>
        <w:t>年第</w:t>
      </w:r>
      <w:r>
        <w:t xml:space="preserve"> 11 期。 </w:t>
      </w:r>
    </w:p>
    <w:p w:rsidR="00D229D1" w:rsidRDefault="00D229D1" w:rsidP="00D229D1"/>
    <w:p w:rsidR="00D229D1" w:rsidRDefault="00D229D1" w:rsidP="00D229D1">
      <w:r>
        <w:rPr>
          <w:rFonts w:hint="eastAsia"/>
        </w:rPr>
        <w:t>（七）引用英文报刊文章和书籍、英文网络文章的基本格式为：</w:t>
      </w:r>
    </w:p>
    <w:p w:rsidR="00D229D1" w:rsidRDefault="00D229D1" w:rsidP="00D229D1">
      <w:r>
        <w:rPr>
          <w:rFonts w:hint="eastAsia"/>
        </w:rPr>
        <w:t>1、</w:t>
      </w:r>
      <w:r>
        <w:t xml:space="preserve">Charles A. Reich, </w:t>
      </w:r>
      <w:r w:rsidRPr="00990C2E">
        <w:rPr>
          <w:i/>
          <w:iCs/>
        </w:rPr>
        <w:t>The New Property</w:t>
      </w:r>
      <w:r>
        <w:t xml:space="preserve">, 73 Yale Law Journal 733, 737-38 (1964). </w:t>
      </w:r>
    </w:p>
    <w:p w:rsidR="00D229D1" w:rsidRDefault="00D229D1" w:rsidP="00D229D1">
      <w:r>
        <w:rPr>
          <w:rFonts w:hint="eastAsia"/>
        </w:rPr>
        <w:lastRenderedPageBreak/>
        <w:t>2、</w:t>
      </w:r>
      <w:r>
        <w:t xml:space="preserve">Louis D. Brandeis, </w:t>
      </w:r>
      <w:r w:rsidRPr="00990C2E">
        <w:rPr>
          <w:i/>
          <w:iCs/>
        </w:rPr>
        <w:t>What Publicity Can Do</w:t>
      </w:r>
      <w:r>
        <w:t xml:space="preserve">, Harper's Weekly, Dec. 20, 1913, p.10. </w:t>
      </w:r>
    </w:p>
    <w:p w:rsidR="00D229D1" w:rsidRDefault="00D229D1" w:rsidP="00D229D1">
      <w:r>
        <w:rPr>
          <w:rFonts w:hint="eastAsia"/>
        </w:rPr>
        <w:t>3、</w:t>
      </w:r>
      <w:r>
        <w:t xml:space="preserve">William Alford, </w:t>
      </w:r>
      <w:r w:rsidRPr="00990C2E">
        <w:rPr>
          <w:i/>
          <w:iCs/>
        </w:rPr>
        <w:t>To Steal a Book is an Elegant Offense: Intellectual Property Law in Chinese Civilization</w:t>
      </w:r>
      <w:r>
        <w:t>, Stanford University Press, 1995, p.98.</w:t>
      </w:r>
    </w:p>
    <w:p w:rsidR="00D229D1" w:rsidRDefault="00D229D1" w:rsidP="00D229D1">
      <w:r>
        <w:rPr>
          <w:rFonts w:hint="eastAsia"/>
        </w:rPr>
        <w:t>4、</w:t>
      </w:r>
      <w:r>
        <w:t xml:space="preserve">Stephen McDonell, When China Began Streaming Trials Online, BBC NEWS (Sept. </w:t>
      </w:r>
    </w:p>
    <w:p w:rsidR="00D229D1" w:rsidRDefault="00D229D1" w:rsidP="00D229D1">
      <w:r>
        <w:t>30, 2016), https://www.bbc.com/news/blogs-china-blog-37515399.</w:t>
      </w:r>
    </w:p>
    <w:p w:rsidR="00D229D1" w:rsidRDefault="00D229D1" w:rsidP="00D229D1">
      <w:pPr>
        <w:spacing w:line="400" w:lineRule="exact"/>
        <w:rPr>
          <w:sz w:val="24"/>
        </w:rPr>
      </w:pPr>
    </w:p>
    <w:p w:rsidR="00D229D1" w:rsidRPr="00946538" w:rsidRDefault="00D229D1" w:rsidP="00D229D1">
      <w:pPr>
        <w:spacing w:line="400" w:lineRule="exact"/>
        <w:rPr>
          <w:b/>
          <w:bCs/>
          <w:sz w:val="24"/>
        </w:rPr>
      </w:pPr>
      <w:r w:rsidRPr="00946538">
        <w:rPr>
          <w:rFonts w:hint="eastAsia"/>
          <w:b/>
          <w:bCs/>
          <w:sz w:val="24"/>
        </w:rPr>
        <w:t>二、注释要求</w:t>
      </w:r>
    </w:p>
    <w:p w:rsidR="00D229D1" w:rsidRPr="00C200FE" w:rsidRDefault="00D229D1" w:rsidP="00D229D1">
      <w:pPr>
        <w:spacing w:line="400" w:lineRule="exact"/>
        <w:ind w:firstLine="480"/>
        <w:rPr>
          <w:sz w:val="24"/>
        </w:rPr>
      </w:pPr>
      <w:r w:rsidRPr="00C200FE">
        <w:rPr>
          <w:rFonts w:hint="eastAsia"/>
          <w:sz w:val="24"/>
        </w:rPr>
        <w:t>1.本刊采用</w:t>
      </w:r>
      <w:r w:rsidRPr="00E74E4A">
        <w:rPr>
          <w:rFonts w:hint="eastAsia"/>
          <w:b/>
          <w:sz w:val="24"/>
        </w:rPr>
        <w:t>页下</w:t>
      </w:r>
      <w:r>
        <w:rPr>
          <w:rFonts w:hint="eastAsia"/>
          <w:b/>
          <w:sz w:val="24"/>
        </w:rPr>
        <w:t>全文</w:t>
      </w:r>
      <w:r w:rsidRPr="00E74E4A">
        <w:rPr>
          <w:rFonts w:hint="eastAsia"/>
          <w:b/>
          <w:sz w:val="24"/>
        </w:rPr>
        <w:t>连续注</w:t>
      </w:r>
      <w:r>
        <w:rPr>
          <w:rFonts w:hint="eastAsia"/>
          <w:sz w:val="24"/>
        </w:rPr>
        <w:t>，用</w:t>
      </w:r>
      <w:r w:rsidRPr="00C200FE">
        <w:rPr>
          <w:rFonts w:hint="eastAsia"/>
          <w:sz w:val="24"/>
        </w:rPr>
        <w:t>123……</w:t>
      </w:r>
      <w:r>
        <w:rPr>
          <w:rFonts w:hint="eastAsia"/>
          <w:sz w:val="24"/>
        </w:rPr>
        <w:t>48   49   50……等</w:t>
      </w:r>
      <w:r w:rsidRPr="00C200FE">
        <w:rPr>
          <w:rFonts w:hint="eastAsia"/>
          <w:sz w:val="24"/>
        </w:rPr>
        <w:t>此中注释方法。</w:t>
      </w:r>
      <w:r>
        <w:rPr>
          <w:rFonts w:hint="eastAsia"/>
          <w:sz w:val="24"/>
        </w:rPr>
        <w:t>限于篇幅，文末不再列参考文献。</w:t>
      </w:r>
    </w:p>
    <w:p w:rsidR="00D229D1" w:rsidRPr="00C200FE" w:rsidRDefault="00D229D1" w:rsidP="00D229D1">
      <w:pPr>
        <w:spacing w:line="400" w:lineRule="exact"/>
        <w:ind w:firstLine="480"/>
        <w:rPr>
          <w:sz w:val="24"/>
        </w:rPr>
      </w:pPr>
      <w:r w:rsidRPr="00C200FE">
        <w:rPr>
          <w:rFonts w:hint="eastAsia"/>
          <w:sz w:val="24"/>
        </w:rPr>
        <w:t>2.注释构成要件</w:t>
      </w:r>
      <w:r w:rsidRPr="00E74E4A">
        <w:rPr>
          <w:rFonts w:hint="eastAsia"/>
          <w:b/>
          <w:sz w:val="24"/>
        </w:rPr>
        <w:t>齐备和准确</w:t>
      </w:r>
      <w:r>
        <w:rPr>
          <w:rFonts w:hint="eastAsia"/>
          <w:sz w:val="24"/>
        </w:rPr>
        <w:t>（作者；书名；版本；页码）。</w:t>
      </w:r>
    </w:p>
    <w:p w:rsidR="00D229D1" w:rsidRPr="00C200FE" w:rsidRDefault="00D229D1" w:rsidP="00D229D1">
      <w:pPr>
        <w:spacing w:line="400" w:lineRule="exact"/>
        <w:ind w:firstLine="480"/>
        <w:rPr>
          <w:sz w:val="24"/>
        </w:rPr>
      </w:pPr>
      <w:r w:rsidRPr="00C200FE">
        <w:rPr>
          <w:rFonts w:hint="eastAsia"/>
          <w:sz w:val="24"/>
        </w:rPr>
        <w:t>3.相同类型注释的</w:t>
      </w:r>
      <w:r w:rsidRPr="00E74E4A">
        <w:rPr>
          <w:rFonts w:hint="eastAsia"/>
          <w:b/>
          <w:sz w:val="24"/>
        </w:rPr>
        <w:t>形式一致</w:t>
      </w:r>
      <w:r w:rsidRPr="00C200FE">
        <w:rPr>
          <w:rFonts w:hint="eastAsia"/>
          <w:sz w:val="24"/>
        </w:rPr>
        <w:t>。</w:t>
      </w:r>
    </w:p>
    <w:p w:rsidR="00D229D1" w:rsidRDefault="00D229D1" w:rsidP="00D229D1"/>
    <w:p w:rsidR="00D229D1" w:rsidRPr="00946538" w:rsidRDefault="00D229D1" w:rsidP="00D229D1">
      <w:pPr>
        <w:spacing w:line="400" w:lineRule="exact"/>
        <w:rPr>
          <w:b/>
          <w:bCs/>
          <w:sz w:val="24"/>
        </w:rPr>
      </w:pPr>
      <w:r w:rsidRPr="00946538">
        <w:rPr>
          <w:rFonts w:hint="eastAsia"/>
          <w:b/>
          <w:bCs/>
          <w:sz w:val="24"/>
        </w:rPr>
        <w:t>三、结构要求</w:t>
      </w:r>
    </w:p>
    <w:p w:rsidR="00D229D1" w:rsidRPr="00F26760" w:rsidRDefault="00D229D1" w:rsidP="00D229D1">
      <w:pPr>
        <w:spacing w:line="400" w:lineRule="exact"/>
        <w:rPr>
          <w:sz w:val="24"/>
        </w:rPr>
      </w:pPr>
      <w:r w:rsidRPr="00F26760">
        <w:rPr>
          <w:rFonts w:hint="eastAsia"/>
          <w:sz w:val="24"/>
        </w:rPr>
        <w:t>（一）内容提要和关键词</w:t>
      </w:r>
    </w:p>
    <w:p w:rsidR="00D229D1" w:rsidRDefault="00D229D1" w:rsidP="00D229D1">
      <w:pPr>
        <w:spacing w:line="400" w:lineRule="exact"/>
        <w:ind w:firstLine="480"/>
        <w:rPr>
          <w:sz w:val="24"/>
        </w:rPr>
      </w:pPr>
      <w:r w:rsidRPr="008E6445">
        <w:rPr>
          <w:rFonts w:hint="eastAsia"/>
          <w:sz w:val="24"/>
        </w:rPr>
        <w:t>请在来稿首页的题目、姓名下面列出文章的内容提要和关键词。内容提要一般不应超过300字，但也不宜过短；关键词2~5条。</w:t>
      </w:r>
    </w:p>
    <w:p w:rsidR="00D229D1" w:rsidRDefault="00D229D1" w:rsidP="00D229D1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同时，请列出英文题目、作者姓名、英文摘要以及英文关键词。</w:t>
      </w:r>
    </w:p>
    <w:p w:rsidR="00D229D1" w:rsidRPr="00946538" w:rsidRDefault="00D229D1" w:rsidP="00D229D1">
      <w:pPr>
        <w:spacing w:line="400" w:lineRule="exact"/>
        <w:rPr>
          <w:sz w:val="24"/>
        </w:rPr>
      </w:pPr>
      <w:r w:rsidRPr="00946538">
        <w:rPr>
          <w:rFonts w:hint="eastAsia"/>
          <w:sz w:val="24"/>
        </w:rPr>
        <w:t>（二）正文格式</w:t>
      </w:r>
    </w:p>
    <w:p w:rsidR="00D229D1" w:rsidRPr="00F26760" w:rsidRDefault="00D229D1" w:rsidP="00D229D1">
      <w:pPr>
        <w:spacing w:line="400" w:lineRule="exact"/>
        <w:rPr>
          <w:sz w:val="24"/>
        </w:rPr>
      </w:pPr>
      <w:r w:rsidRPr="00F26760">
        <w:rPr>
          <w:rFonts w:hint="eastAsia"/>
          <w:sz w:val="24"/>
        </w:rPr>
        <w:t>标题及子目序列方式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第一级：“一、”“二、”“三、”……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第二级：“（一）”“（二）”“（三）”……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第三级：“1</w:t>
      </w:r>
      <w:r>
        <w:rPr>
          <w:rFonts w:hint="eastAsia"/>
          <w:sz w:val="24"/>
        </w:rPr>
        <w:t>.</w:t>
      </w:r>
      <w:r w:rsidRPr="002849E4">
        <w:rPr>
          <w:rFonts w:hint="eastAsia"/>
          <w:sz w:val="24"/>
        </w:rPr>
        <w:t>”“2</w:t>
      </w:r>
      <w:r>
        <w:rPr>
          <w:rFonts w:hint="eastAsia"/>
          <w:sz w:val="24"/>
        </w:rPr>
        <w:t>.</w:t>
      </w:r>
      <w:r w:rsidRPr="002849E4">
        <w:rPr>
          <w:rFonts w:hint="eastAsia"/>
          <w:sz w:val="24"/>
        </w:rPr>
        <w:t>”“3</w:t>
      </w:r>
      <w:r>
        <w:rPr>
          <w:rFonts w:hint="eastAsia"/>
          <w:sz w:val="24"/>
        </w:rPr>
        <w:t>.</w:t>
      </w:r>
      <w:r w:rsidRPr="002849E4">
        <w:rPr>
          <w:rFonts w:hint="eastAsia"/>
          <w:sz w:val="24"/>
        </w:rPr>
        <w:t>”……（正文接排）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第四级：“（1）”“（2）”“（3）”……（正文接排）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其后可接“①”“②”“③”……</w:t>
      </w:r>
    </w:p>
    <w:p w:rsidR="00D229D1" w:rsidRPr="002849E4" w:rsidRDefault="00D229D1" w:rsidP="00D229D1">
      <w:pPr>
        <w:spacing w:line="400" w:lineRule="exact"/>
        <w:ind w:firstLineChars="200" w:firstLine="480"/>
        <w:rPr>
          <w:sz w:val="24"/>
        </w:rPr>
      </w:pPr>
      <w:r w:rsidRPr="002849E4">
        <w:rPr>
          <w:rFonts w:hint="eastAsia"/>
          <w:sz w:val="24"/>
        </w:rPr>
        <w:t>第五级：第一，第二，第三</w:t>
      </w:r>
    </w:p>
    <w:p w:rsidR="00D229D1" w:rsidRPr="00DC0EE0" w:rsidRDefault="00D229D1" w:rsidP="00D229D1">
      <w:pPr>
        <w:spacing w:line="400" w:lineRule="exact"/>
        <w:ind w:firstLine="480"/>
        <w:rPr>
          <w:sz w:val="24"/>
        </w:rPr>
      </w:pPr>
      <w:r w:rsidRPr="00DC0EE0">
        <w:rPr>
          <w:rFonts w:hint="eastAsia"/>
          <w:sz w:val="24"/>
        </w:rPr>
        <w:t>【注意】如果第一级标题下面内容比较多或层次比较多，一般要用第二级标题，如果不是这样，可以直接越级使用第三级标题；但是分段分点叙述观点时，如果只是表示要点，直接下结论，没有进行展开时，第一级标题和第二级标题可以越级使用第四级标题。</w:t>
      </w:r>
    </w:p>
    <w:p w:rsidR="00D229D1" w:rsidRDefault="00D229D1" w:rsidP="00D229D1">
      <w:pPr>
        <w:spacing w:line="400" w:lineRule="exact"/>
        <w:ind w:firstLine="480"/>
        <w:rPr>
          <w:sz w:val="24"/>
        </w:rPr>
      </w:pPr>
      <w:r w:rsidRPr="00DC0EE0">
        <w:rPr>
          <w:rFonts w:hint="eastAsia"/>
          <w:sz w:val="24"/>
        </w:rPr>
        <w:t>对于段内层次的运用，可以根据需要采取“首先、其次、再次、最后”，“其一、其二、其三、其四”，“一是、二是、三是、四是”，“①②③……”等自成体系的序号排</w:t>
      </w:r>
      <w:r w:rsidRPr="00DC0EE0">
        <w:rPr>
          <w:rFonts w:hint="eastAsia"/>
          <w:sz w:val="24"/>
        </w:rPr>
        <w:lastRenderedPageBreak/>
        <w:t>列。第一最好不要放在段内作为叙述的层次，一般放在段前，作为（1）之后的补充级别（分段使用）。</w:t>
      </w:r>
    </w:p>
    <w:p w:rsidR="00D229D1" w:rsidRPr="00946538" w:rsidRDefault="00D229D1" w:rsidP="00D229D1">
      <w:pPr>
        <w:rPr>
          <w:sz w:val="24"/>
        </w:rPr>
      </w:pPr>
      <w:r w:rsidRPr="00946538">
        <w:rPr>
          <w:rFonts w:hint="eastAsia"/>
          <w:sz w:val="24"/>
        </w:rPr>
        <w:t>（三）引文</w:t>
      </w:r>
    </w:p>
    <w:p w:rsidR="00D229D1" w:rsidRPr="00DC0EE0" w:rsidRDefault="00D229D1" w:rsidP="00D229D1">
      <w:pPr>
        <w:spacing w:line="400" w:lineRule="exact"/>
        <w:ind w:firstLine="480"/>
        <w:rPr>
          <w:sz w:val="24"/>
        </w:rPr>
      </w:pPr>
      <w:r w:rsidRPr="00DC0EE0">
        <w:rPr>
          <w:rFonts w:hint="eastAsia"/>
          <w:sz w:val="24"/>
        </w:rPr>
        <w:t>1.出现在正文与注释之中的引文，加双引号“”，引文之中的引文加单引号‘’。</w:t>
      </w:r>
    </w:p>
    <w:p w:rsidR="00D229D1" w:rsidRPr="00DC0EE0" w:rsidRDefault="00D229D1" w:rsidP="00D229D1">
      <w:pPr>
        <w:spacing w:line="400" w:lineRule="exact"/>
        <w:ind w:firstLine="480"/>
        <w:rPr>
          <w:sz w:val="24"/>
        </w:rPr>
      </w:pPr>
      <w:r w:rsidRPr="00DC0EE0">
        <w:rPr>
          <w:rFonts w:hint="eastAsia"/>
          <w:sz w:val="24"/>
        </w:rPr>
        <w:t>2.引文的注释序列号加在引号之外；如果引文是完整的句子或段落，应在句子或段落的结尾加上句号或问号等，再加上引号和注释序号。举例1：</w:t>
      </w:r>
    </w:p>
    <w:p w:rsidR="00D229D1" w:rsidRDefault="00D229D1" w:rsidP="00D229D1">
      <w:pPr>
        <w:spacing w:line="400" w:lineRule="exact"/>
        <w:ind w:firstLine="480"/>
        <w:rPr>
          <w:sz w:val="24"/>
        </w:rPr>
      </w:pPr>
      <w:r w:rsidRPr="00DC0EE0">
        <w:rPr>
          <w:rFonts w:hint="eastAsia"/>
          <w:sz w:val="24"/>
        </w:rPr>
        <w:t xml:space="preserve">肯尼斯·华尔兹说：“国家不是而且从来不是唯一的国际行为体。但是界定结构的不是活跃于其中的所有行为体，而是主要的行为体。” </w:t>
      </w:r>
      <w:r>
        <w:rPr>
          <w:rStyle w:val="a8"/>
          <w:sz w:val="24"/>
        </w:rPr>
        <w:footnoteReference w:id="2"/>
      </w:r>
    </w:p>
    <w:p w:rsidR="00D229D1" w:rsidRDefault="00D229D1" w:rsidP="00D229D1"/>
    <w:p w:rsidR="00D229D1" w:rsidRDefault="00D229D1" w:rsidP="00D229D1"/>
    <w:p w:rsidR="00D229D1" w:rsidRPr="003E37BA" w:rsidRDefault="00D229D1" w:rsidP="00D229D1">
      <w:pPr>
        <w:jc w:val="center"/>
        <w:rPr>
          <w:sz w:val="24"/>
          <w:szCs w:val="28"/>
        </w:rPr>
      </w:pPr>
      <w:r w:rsidRPr="003E37BA">
        <w:rPr>
          <w:rFonts w:hint="eastAsia"/>
          <w:sz w:val="24"/>
          <w:szCs w:val="28"/>
        </w:rPr>
        <w:t>《“一带一路”法律研究》编辑部</w:t>
      </w:r>
    </w:p>
    <w:p w:rsidR="00D229D1" w:rsidRPr="003E37BA" w:rsidRDefault="00D229D1" w:rsidP="00D229D1">
      <w:pPr>
        <w:jc w:val="center"/>
        <w:rPr>
          <w:sz w:val="24"/>
          <w:szCs w:val="28"/>
        </w:rPr>
      </w:pPr>
      <w:r w:rsidRPr="003E37BA">
        <w:rPr>
          <w:rFonts w:hint="eastAsia"/>
          <w:sz w:val="24"/>
          <w:szCs w:val="28"/>
        </w:rPr>
        <w:t>2</w:t>
      </w:r>
      <w:r w:rsidRPr="003E37BA">
        <w:rPr>
          <w:sz w:val="24"/>
          <w:szCs w:val="28"/>
        </w:rPr>
        <w:t>020</w:t>
      </w:r>
      <w:r w:rsidRPr="003E37BA">
        <w:rPr>
          <w:rFonts w:hint="eastAsia"/>
          <w:sz w:val="24"/>
          <w:szCs w:val="28"/>
        </w:rPr>
        <w:t>年</w:t>
      </w:r>
      <w:r w:rsidR="002301E7">
        <w:rPr>
          <w:sz w:val="24"/>
          <w:szCs w:val="28"/>
        </w:rPr>
        <w:t>1</w:t>
      </w:r>
      <w:r w:rsidRPr="003E37BA">
        <w:rPr>
          <w:rFonts w:hint="eastAsia"/>
          <w:sz w:val="24"/>
          <w:szCs w:val="28"/>
        </w:rPr>
        <w:t>月</w:t>
      </w:r>
    </w:p>
    <w:p w:rsidR="00D229D1" w:rsidRPr="00A83E35" w:rsidRDefault="00D229D1" w:rsidP="00D229D1">
      <w:pPr>
        <w:rPr>
          <w:sz w:val="22"/>
          <w:szCs w:val="24"/>
        </w:rPr>
      </w:pPr>
    </w:p>
    <w:sectPr w:rsidR="00D229D1" w:rsidRPr="00A83E35" w:rsidSect="004E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3D" w:rsidRDefault="00D90A3D" w:rsidP="00995474">
      <w:r>
        <w:separator/>
      </w:r>
    </w:p>
  </w:endnote>
  <w:endnote w:type="continuationSeparator" w:id="1">
    <w:p w:rsidR="00D90A3D" w:rsidRDefault="00D90A3D" w:rsidP="0099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3D" w:rsidRDefault="00D90A3D" w:rsidP="00995474">
      <w:r>
        <w:separator/>
      </w:r>
    </w:p>
  </w:footnote>
  <w:footnote w:type="continuationSeparator" w:id="1">
    <w:p w:rsidR="00D90A3D" w:rsidRDefault="00D90A3D" w:rsidP="00995474">
      <w:r>
        <w:continuationSeparator/>
      </w:r>
    </w:p>
  </w:footnote>
  <w:footnote w:id="2">
    <w:p w:rsidR="00D229D1" w:rsidRDefault="00D229D1" w:rsidP="00D229D1">
      <w:pPr>
        <w:pStyle w:val="a7"/>
      </w:pPr>
      <w:r>
        <w:rPr>
          <w:rStyle w:val="a8"/>
        </w:rPr>
        <w:footnoteRef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734"/>
    <w:rsid w:val="00070662"/>
    <w:rsid w:val="000A36AE"/>
    <w:rsid w:val="000F1AEC"/>
    <w:rsid w:val="000F303B"/>
    <w:rsid w:val="00163B24"/>
    <w:rsid w:val="001E2E13"/>
    <w:rsid w:val="001E582F"/>
    <w:rsid w:val="002301E7"/>
    <w:rsid w:val="00237F7B"/>
    <w:rsid w:val="00267DE9"/>
    <w:rsid w:val="003078E7"/>
    <w:rsid w:val="003244DE"/>
    <w:rsid w:val="0032511C"/>
    <w:rsid w:val="00333734"/>
    <w:rsid w:val="00377D96"/>
    <w:rsid w:val="003B646D"/>
    <w:rsid w:val="003F6043"/>
    <w:rsid w:val="004C225D"/>
    <w:rsid w:val="004C45EA"/>
    <w:rsid w:val="004E1872"/>
    <w:rsid w:val="005C47A5"/>
    <w:rsid w:val="005D617E"/>
    <w:rsid w:val="006C49EF"/>
    <w:rsid w:val="00721176"/>
    <w:rsid w:val="00756DB6"/>
    <w:rsid w:val="007C5676"/>
    <w:rsid w:val="008650F3"/>
    <w:rsid w:val="00866201"/>
    <w:rsid w:val="008A1201"/>
    <w:rsid w:val="008D04A2"/>
    <w:rsid w:val="00950C4F"/>
    <w:rsid w:val="00995474"/>
    <w:rsid w:val="009F1F48"/>
    <w:rsid w:val="00A30866"/>
    <w:rsid w:val="00A506D3"/>
    <w:rsid w:val="00A51869"/>
    <w:rsid w:val="00A80209"/>
    <w:rsid w:val="00A83E35"/>
    <w:rsid w:val="00AA6BF7"/>
    <w:rsid w:val="00AD7F94"/>
    <w:rsid w:val="00B058D3"/>
    <w:rsid w:val="00B678E9"/>
    <w:rsid w:val="00B75CE8"/>
    <w:rsid w:val="00CA5A50"/>
    <w:rsid w:val="00D229D1"/>
    <w:rsid w:val="00D90A3D"/>
    <w:rsid w:val="00DC5709"/>
    <w:rsid w:val="00E13A90"/>
    <w:rsid w:val="00E710E6"/>
    <w:rsid w:val="00E71C57"/>
    <w:rsid w:val="00E8232B"/>
    <w:rsid w:val="00ED22E3"/>
    <w:rsid w:val="00EF2FD0"/>
    <w:rsid w:val="00F27CFE"/>
    <w:rsid w:val="00F32721"/>
    <w:rsid w:val="00F8039D"/>
    <w:rsid w:val="00FE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74"/>
    <w:rPr>
      <w:sz w:val="18"/>
      <w:szCs w:val="18"/>
    </w:rPr>
  </w:style>
  <w:style w:type="character" w:styleId="a5">
    <w:name w:val="Hyperlink"/>
    <w:basedOn w:val="a0"/>
    <w:uiPriority w:val="99"/>
    <w:unhideWhenUsed/>
    <w:rsid w:val="00756D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E3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D22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229D1"/>
  </w:style>
  <w:style w:type="paragraph" w:styleId="a7">
    <w:name w:val="footnote text"/>
    <w:basedOn w:val="a"/>
    <w:link w:val="Char2"/>
    <w:semiHidden/>
    <w:rsid w:val="00D229D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D229D1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D229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继红 张</dc:creator>
  <cp:keywords/>
  <dc:description/>
  <cp:lastModifiedBy>李纬明</cp:lastModifiedBy>
  <cp:revision>44</cp:revision>
  <cp:lastPrinted>2020-05-19T01:29:00Z</cp:lastPrinted>
  <dcterms:created xsi:type="dcterms:W3CDTF">2020-03-22T12:50:00Z</dcterms:created>
  <dcterms:modified xsi:type="dcterms:W3CDTF">2020-11-13T05:17:00Z</dcterms:modified>
</cp:coreProperties>
</file>