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66E25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附件1</w:t>
      </w:r>
    </w:p>
    <w:p w14:paraId="05A5633E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上海政法学院2027届本科生毕业论文工作计划及日程安排</w:t>
      </w:r>
    </w:p>
    <w:p w14:paraId="1EF0CC9A">
      <w:pPr>
        <w:spacing w:line="560" w:lineRule="exact"/>
        <w:ind w:firstLine="480" w:firstLineChars="200"/>
        <w:jc w:val="center"/>
        <w:rPr>
          <w:rFonts w:asciiTheme="minorEastAsia" w:hAnsiTheme="minorEastAsia" w:cstheme="minorEastAsia"/>
          <w:sz w:val="24"/>
        </w:rPr>
      </w:pPr>
    </w:p>
    <w:p w14:paraId="0B52B300">
      <w:p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根据本校本科人才培养方案，教务处特制定2027届本科生毕业论文工作计划。请各二级学院依照本计划，结合市教委关于毕业论文抽检工作的具体要求，采取切实有效的措施，确保2027届本科生毕业论文工作的顺利进行。</w:t>
      </w:r>
    </w:p>
    <w:p w14:paraId="14F34E8B">
      <w:p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一、组织分工</w:t>
      </w:r>
    </w:p>
    <w:p w14:paraId="60CD81C6">
      <w:p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1. 学校毕业论文工作领导小组负责统筹管理全校毕业论文工作。</w:t>
      </w:r>
    </w:p>
    <w:p w14:paraId="5C1CEA4F">
      <w:p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2. 教务处依据毕业论文工作领导小组的部署，负责拟订毕业论文工作计划及日程安排，发放毕业论文相关材料，监督论文工作进度及规定执行情况，协调解决毕业论文工作中的问题，组织各类毕业论文检查工作，负责优秀毕业论文的评选工作，以及汇总、保管全校毕业论文成绩、管理过程材料和工作总结。</w:t>
      </w:r>
    </w:p>
    <w:p w14:paraId="27306EFD">
      <w:p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3. 各二级学院负责本部门学生的毕业论文具体工作，包括拟定备选参考题目，举办辅导讲座，组织学生选题，下达论文任务书，指导开题报告和论文撰写，组织论文指导、检查、评阅、答辩、成绩评定、审查及优秀毕业论文评选、保管学生毕业论文册等工作，定期检查学生论文进度和质量，及时发现并解决存在的问题。</w:t>
      </w:r>
    </w:p>
    <w:p w14:paraId="3EC69EDC">
      <w:p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二、工作步骤</w:t>
      </w:r>
    </w:p>
    <w:p w14:paraId="0DD802C3">
      <w:p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毕业论文工作分为三个阶段：</w:t>
      </w:r>
    </w:p>
    <w:p w14:paraId="21CEE7D5">
      <w:p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1. 前期准备阶段</w:t>
      </w:r>
    </w:p>
    <w:p w14:paraId="22554672">
      <w:p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时间安排在秋季学期。此阶段主要任务包括各二级学院拟定备选参考题目，举办论文写作辅导讲座，指导学生选题，确定指导教师，汇总、审核学生选题情况和指导教师情况，完成毕业论文开题报告。</w:t>
      </w:r>
    </w:p>
    <w:p w14:paraId="0B376DE7">
      <w:p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2. 中期论文撰写阶段</w:t>
      </w:r>
    </w:p>
    <w:p w14:paraId="3617D143">
      <w:p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时间安排在春季学期前8周内。此阶段主要任务包括指导教师指导学生撰写论文，组织学生查重，并进行中期检查。</w:t>
      </w:r>
    </w:p>
    <w:p w14:paraId="457767FE">
      <w:p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3. 后期成绩评定阶段</w:t>
      </w:r>
    </w:p>
    <w:p w14:paraId="0A801FB7">
      <w:pPr>
        <w:spacing w:line="560" w:lineRule="exact"/>
        <w:ind w:firstLine="480" w:firstLineChars="200"/>
        <w:rPr>
          <w:rFonts w:asciiTheme="minorEastAsia" w:hAnsiTheme="minorEastAsia" w:cstheme="minorEastAsia"/>
          <w:strike/>
          <w:color w:val="A4A4A4"/>
          <w:sz w:val="24"/>
        </w:rPr>
      </w:pPr>
      <w:r>
        <w:rPr>
          <w:rFonts w:hint="eastAsia" w:asciiTheme="minorEastAsia" w:hAnsiTheme="minorEastAsia" w:cstheme="minorEastAsia"/>
          <w:sz w:val="24"/>
        </w:rPr>
        <w:t>时间安排在春季学期第9-13周。此阶段主要任务包括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质管办</w:t>
      </w:r>
      <w:bookmarkStart w:id="0" w:name="_GoBack"/>
      <w:bookmarkEnd w:id="0"/>
      <w:r>
        <w:rPr>
          <w:rFonts w:hint="eastAsia" w:asciiTheme="minorEastAsia" w:hAnsiTheme="minorEastAsia" w:cstheme="minorEastAsia"/>
          <w:sz w:val="24"/>
        </w:rPr>
        <w:t>组织校内抽检工作，各二级学院组织评阅、答辩、成绩评定，评选优秀论文，以及毕业论文的审查、归档、总结工作等。</w:t>
      </w:r>
    </w:p>
    <w:p w14:paraId="2E01ADCE">
      <w:p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（具体时间安排详见“上海政法学院2027届本科生毕业论文工作日程安排表”）</w:t>
      </w:r>
    </w:p>
    <w:p w14:paraId="5957CA42">
      <w:p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三、注意事项</w:t>
      </w:r>
    </w:p>
    <w:p w14:paraId="09AE2445">
      <w:p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结合教育部下发的《2025-2026学年度本科毕业论文（设计）抽检论文原文报送及专家信息报送更新工作指南》，</w:t>
      </w:r>
      <w:r>
        <w:rPr>
          <w:rFonts w:hint="eastAsia" w:asciiTheme="minorEastAsia" w:hAnsiTheme="minorEastAsia" w:cstheme="minorEastAsia"/>
          <w:b/>
          <w:bCs/>
          <w:sz w:val="24"/>
        </w:rPr>
        <w:t>自2024年6月起，授予学位的论文信息将统一从学位中心调取数据且不可更改</w:t>
      </w:r>
      <w:r>
        <w:rPr>
          <w:rFonts w:hint="eastAsia" w:asciiTheme="minorEastAsia" w:hAnsiTheme="minorEastAsia" w:cstheme="minorEastAsia"/>
          <w:sz w:val="24"/>
        </w:rPr>
        <w:t>。因此，各二级学院在毕业论文工作中需注意以下事项：</w:t>
      </w:r>
    </w:p>
    <w:p w14:paraId="198A0208">
      <w:pPr>
        <w:numPr>
          <w:ilvl w:val="0"/>
          <w:numId w:val="1"/>
        </w:num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前期准备阶段，各二级学院和教研室主任需严格把关审题，</w:t>
      </w:r>
      <w:r>
        <w:rPr>
          <w:rFonts w:hint="eastAsia" w:asciiTheme="minorEastAsia" w:hAnsiTheme="minorEastAsia" w:cstheme="minorEastAsia"/>
          <w:b/>
          <w:bCs/>
          <w:sz w:val="24"/>
        </w:rPr>
        <w:t>确保新题率在30%以上；来源于以实验、实践、社会调查等实践性工作为基础的毕业论文（设计）比例需达到75%以上</w:t>
      </w:r>
      <w:r>
        <w:rPr>
          <w:rFonts w:hint="eastAsia" w:asciiTheme="minorEastAsia" w:hAnsiTheme="minorEastAsia" w:cstheme="minorEastAsia"/>
          <w:sz w:val="24"/>
        </w:rPr>
        <w:t>；课题大小需适中，具有一定的深度、广度和现实意义；确保每位学生独立选题。</w:t>
      </w:r>
    </w:p>
    <w:p w14:paraId="14F1E32E">
      <w:pPr>
        <w:numPr>
          <w:ilvl w:val="0"/>
          <w:numId w:val="1"/>
        </w:num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论文题目建议使用中文标题，限制在240个字符以内。论文研究方向须为</w:t>
      </w:r>
      <w:r>
        <w:rPr>
          <w:rFonts w:hint="eastAsia" w:asciiTheme="minorEastAsia" w:hAnsiTheme="minorEastAsia" w:cstheme="minorEastAsia"/>
          <w:b/>
          <w:bCs/>
          <w:sz w:val="24"/>
        </w:rPr>
        <w:t>中文</w:t>
      </w:r>
      <w:r>
        <w:rPr>
          <w:rFonts w:hint="eastAsia" w:asciiTheme="minorEastAsia" w:hAnsiTheme="minorEastAsia" w:cstheme="minorEastAsia"/>
          <w:sz w:val="24"/>
        </w:rPr>
        <w:t>，每个研究方向限制在15个汉字以内，限填</w:t>
      </w:r>
      <w:r>
        <w:rPr>
          <w:rFonts w:hint="eastAsia" w:asciiTheme="minorEastAsia" w:hAnsiTheme="minorEastAsia" w:cstheme="minorEastAsia"/>
          <w:b/>
          <w:bCs/>
          <w:sz w:val="24"/>
        </w:rPr>
        <w:t>两个</w:t>
      </w:r>
      <w:r>
        <w:rPr>
          <w:rFonts w:hint="eastAsia" w:asciiTheme="minorEastAsia" w:hAnsiTheme="minorEastAsia" w:cstheme="minorEastAsia"/>
          <w:sz w:val="24"/>
        </w:rPr>
        <w:t>研究方向，研究方向</w:t>
      </w:r>
      <w:r>
        <w:rPr>
          <w:rFonts w:hint="eastAsia" w:asciiTheme="minorEastAsia" w:hAnsiTheme="minorEastAsia" w:cstheme="minorEastAsia"/>
          <w:b/>
          <w:bCs/>
          <w:sz w:val="24"/>
        </w:rPr>
        <w:t>不得与专业名称和论文题目相同</w:t>
      </w:r>
      <w:r>
        <w:rPr>
          <w:rFonts w:hint="eastAsia" w:asciiTheme="minorEastAsia" w:hAnsiTheme="minorEastAsia" w:cstheme="minorEastAsia"/>
          <w:sz w:val="24"/>
        </w:rPr>
        <w:t>。论文关键词</w:t>
      </w:r>
      <w:r>
        <w:rPr>
          <w:rFonts w:hint="eastAsia" w:asciiTheme="minorEastAsia" w:hAnsiTheme="minorEastAsia" w:cstheme="minorEastAsia"/>
          <w:b/>
          <w:bCs/>
          <w:sz w:val="24"/>
        </w:rPr>
        <w:t>限制在100个汉字以内</w:t>
      </w:r>
      <w:r>
        <w:rPr>
          <w:rFonts w:hint="eastAsia" w:asciiTheme="minorEastAsia" w:hAnsiTheme="minorEastAsia" w:cstheme="minorEastAsia"/>
          <w:sz w:val="24"/>
        </w:rPr>
        <w:t>，以分号分隔，关键词</w:t>
      </w:r>
      <w:r>
        <w:rPr>
          <w:rFonts w:hint="eastAsia" w:asciiTheme="minorEastAsia" w:hAnsiTheme="minorEastAsia" w:cstheme="minorEastAsia"/>
          <w:b/>
          <w:bCs/>
          <w:sz w:val="24"/>
        </w:rPr>
        <w:t>不得与研究方向和论文题目相同</w:t>
      </w:r>
      <w:r>
        <w:rPr>
          <w:rFonts w:hint="eastAsia" w:asciiTheme="minorEastAsia" w:hAnsiTheme="minorEastAsia" w:cstheme="minorEastAsia"/>
          <w:sz w:val="24"/>
        </w:rPr>
        <w:t>。</w:t>
      </w:r>
    </w:p>
    <w:p w14:paraId="4ACCE27A">
      <w:pPr>
        <w:numPr>
          <w:ilvl w:val="0"/>
          <w:numId w:val="1"/>
        </w:num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指导教师应由中级职称以上教师担任，注意提高高级职称指导教师比例。每位指导教师指导学生人数不宜过多，一般不超过</w:t>
      </w:r>
      <w:r>
        <w:rPr>
          <w:rFonts w:hint="eastAsia" w:asciiTheme="minorEastAsia" w:hAnsiTheme="minorEastAsia" w:cstheme="minorEastAsia"/>
          <w:b/>
          <w:bCs/>
          <w:sz w:val="24"/>
        </w:rPr>
        <w:t>10</w:t>
      </w:r>
      <w:r>
        <w:rPr>
          <w:rFonts w:hint="eastAsia" w:asciiTheme="minorEastAsia" w:hAnsiTheme="minorEastAsia" w:cstheme="minorEastAsia"/>
          <w:sz w:val="24"/>
        </w:rPr>
        <w:t>名，以确保有足够的时间和精力与学生沟通交流。</w:t>
      </w:r>
    </w:p>
    <w:p w14:paraId="49F0986D">
      <w:pPr>
        <w:numPr>
          <w:ilvl w:val="0"/>
          <w:numId w:val="1"/>
        </w:num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论文选题和指导教师确定后，不得随意更改。如确需更改，应及时在“大学生毕业论文（设计）管理系统”内申请修改题目并经二级学院审核通过。</w:t>
      </w:r>
    </w:p>
    <w:p w14:paraId="1B31B475">
      <w:pPr>
        <w:numPr>
          <w:ilvl w:val="0"/>
          <w:numId w:val="1"/>
        </w:num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开题报告必须在前期准备阶段完成，内容应具体明确，并经指导教师、教研室主任审批通过后，不得随意更改。</w:t>
      </w:r>
    </w:p>
    <w:p w14:paraId="3EECB2F0">
      <w:pPr>
        <w:numPr>
          <w:ilvl w:val="0"/>
          <w:numId w:val="1"/>
        </w:num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论文撰写阶段，指导教师应及时指导学生，在毕业论文管理系统内上传相应的指导记录，并保存批改痕迹。</w:t>
      </w:r>
    </w:p>
    <w:p w14:paraId="0CEC0786">
      <w:pPr>
        <w:numPr>
          <w:ilvl w:val="0"/>
          <w:numId w:val="1"/>
        </w:num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论文格式应按规定编排，定稿论文（查重稿、最终稿）需使用统一封面，封面应添加行业指导老师，研究综述应置于论文正文最前面。</w:t>
      </w:r>
    </w:p>
    <w:p w14:paraId="73C63AE0">
      <w:pPr>
        <w:numPr>
          <w:ilvl w:val="0"/>
          <w:numId w:val="1"/>
        </w:num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各二级学院需做好论文中期检查工作，及时解决发现的问题。</w:t>
      </w:r>
    </w:p>
    <w:p w14:paraId="622BB04D">
      <w:pPr>
        <w:numPr>
          <w:ilvl w:val="0"/>
          <w:numId w:val="1"/>
        </w:num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每篇论文经查重检测后，总文字复制比必须低于</w:t>
      </w:r>
      <w:r>
        <w:rPr>
          <w:rFonts w:hint="eastAsia" w:asciiTheme="minorEastAsia" w:hAnsiTheme="minorEastAsia" w:cstheme="minorEastAsia"/>
          <w:b/>
          <w:bCs/>
          <w:sz w:val="24"/>
        </w:rPr>
        <w:t>30%（不含本数</w:t>
      </w:r>
      <w:r>
        <w:rPr>
          <w:rFonts w:hint="eastAsia" w:asciiTheme="minorEastAsia" w:hAnsiTheme="minorEastAsia" w:cstheme="minorEastAsia"/>
          <w:sz w:val="24"/>
        </w:rPr>
        <w:t>），不符合规定的论文不得参加答辩。</w:t>
      </w:r>
    </w:p>
    <w:p w14:paraId="617B4D77">
      <w:pPr>
        <w:numPr>
          <w:ilvl w:val="0"/>
          <w:numId w:val="1"/>
        </w:num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成绩评定中，学生论文成绩必须与论文质量相符，成绩评定书各栏内容应具体明确。分数由指导教师分数、评阅专家平均分（2位）、答辩分数组成，各分数以百分比录入后系统自动换算。</w:t>
      </w:r>
    </w:p>
    <w:p w14:paraId="0E8F8E46">
      <w:p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凡90分以上（含90分）、60分以下（不含60分）以及未达到学士学位授予资格的论文，应有复审答辩评分表与复审答辩记录。</w:t>
      </w:r>
    </w:p>
    <w:p w14:paraId="2771BF3D">
      <w:pPr>
        <w:numPr>
          <w:ilvl w:val="0"/>
          <w:numId w:val="1"/>
        </w:num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指导教师不得担任本人所指导学生的答辩教师。答辩组及复辩组均由3人组成，包括一位答辩组组长、两位答辩组成员，答辩录入员无打分权，不计入答辩组成员。</w:t>
      </w:r>
    </w:p>
    <w:p w14:paraId="3786FFC6">
      <w:pPr>
        <w:numPr>
          <w:ilvl w:val="0"/>
          <w:numId w:val="1"/>
        </w:num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答辩通过后，应督促学生及时在“大学生毕业设计（论文）管理系统”上传最终稿，由指导老师审核。</w:t>
      </w:r>
      <w:r>
        <w:rPr>
          <w:rFonts w:hint="eastAsia" w:asciiTheme="minorEastAsia" w:hAnsiTheme="minorEastAsia" w:cstheme="minorEastAsia"/>
          <w:b/>
          <w:bCs/>
          <w:sz w:val="24"/>
        </w:rPr>
        <w:t>指导教师必须对每位学生上传的最终稿标题及内容进行审查核对，如有不一致情况，应及时通知学生进行修改。</w:t>
      </w:r>
      <w:r>
        <w:rPr>
          <w:rFonts w:hint="eastAsia" w:asciiTheme="minorEastAsia" w:hAnsiTheme="minorEastAsia" w:cstheme="minorEastAsia"/>
          <w:sz w:val="24"/>
        </w:rPr>
        <w:t>审核通过后，各二级学院将纸质版毕业论文册按要求归档保管。</w:t>
      </w:r>
    </w:p>
    <w:p w14:paraId="78DD2430">
      <w:pPr>
        <w:numPr>
          <w:ilvl w:val="0"/>
          <w:numId w:val="1"/>
        </w:num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各二级学院需严格把关，做好后期审查工作；同时，做好优秀毕业论文的推荐评选工作，优秀毕业论文评选详见《</w:t>
      </w:r>
      <w:r>
        <w:fldChar w:fldCharType="begin"/>
      </w:r>
      <w:r>
        <w:instrText xml:space="preserve"> HYPERLINK "https://www.shupl.edu.cn/jwc/2021/1015/c2108a103539/page.htm" \t "https://www.shupl.edu.cn/jwc/2078/_blank" </w:instrText>
      </w:r>
      <w:r>
        <w:fldChar w:fldCharType="separate"/>
      </w:r>
      <w:r>
        <w:rPr>
          <w:rFonts w:asciiTheme="minorEastAsia" w:hAnsiTheme="minorEastAsia" w:cstheme="minorEastAsia"/>
          <w:sz w:val="24"/>
        </w:rPr>
        <w:t>上海政法学院优秀毕业论文评选办法</w:t>
      </w:r>
      <w:r>
        <w:rPr>
          <w:rFonts w:asciiTheme="minorEastAsia" w:hAnsiTheme="minorEastAsia" w:cstheme="minorEastAsia"/>
          <w:sz w:val="24"/>
        </w:rPr>
        <w:fldChar w:fldCharType="end"/>
      </w:r>
      <w:r>
        <w:rPr>
          <w:rFonts w:hint="eastAsia" w:asciiTheme="minorEastAsia" w:hAnsiTheme="minorEastAsia" w:cstheme="minorEastAsia"/>
          <w:sz w:val="24"/>
        </w:rPr>
        <w:t>》。</w:t>
      </w:r>
    </w:p>
    <w:p w14:paraId="35158062">
      <w:pPr>
        <w:numPr>
          <w:ilvl w:val="0"/>
          <w:numId w:val="1"/>
        </w:num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毕业论文主要管理文件和相关表格均可在教务处网站进行下载。</w:t>
      </w:r>
    </w:p>
    <w:p w14:paraId="5B8C61A1">
      <w:pPr>
        <w:spacing w:line="56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请各二级学院严格按照本学年“毕业论文工作日程安排表”上的安排，以及我校毕业论文工作条例、本专业论文大纲和我校毕业论文工作要求操作，按照规定时间节点做好每个环节的工作，确保本学年毕业论文工作顺利完成。</w:t>
      </w:r>
    </w:p>
    <w:p w14:paraId="386B451C">
      <w:pPr>
        <w:spacing w:line="560" w:lineRule="exact"/>
        <w:rPr>
          <w:rFonts w:asciiTheme="minorEastAsia" w:hAnsiTheme="minorEastAsia" w:cstheme="minorEastAsia"/>
          <w:sz w:val="24"/>
        </w:rPr>
      </w:pPr>
    </w:p>
    <w:p w14:paraId="4497A169">
      <w:pPr>
        <w:spacing w:line="560" w:lineRule="exact"/>
        <w:rPr>
          <w:rFonts w:asciiTheme="minorEastAsia" w:hAnsiTheme="minorEastAsia" w:cstheme="minorEastAsia"/>
          <w:sz w:val="24"/>
        </w:rPr>
      </w:pPr>
    </w:p>
    <w:p w14:paraId="6B543DDB">
      <w:pPr>
        <w:spacing w:line="560" w:lineRule="exact"/>
        <w:rPr>
          <w:rFonts w:asciiTheme="minorEastAsia" w:hAnsiTheme="minorEastAsia" w:cstheme="minorEastAsia"/>
          <w:sz w:val="24"/>
        </w:rPr>
      </w:pPr>
    </w:p>
    <w:p w14:paraId="3E486CAA">
      <w:pPr>
        <w:spacing w:line="560" w:lineRule="exact"/>
        <w:ind w:firstLine="560" w:firstLineChars="200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上海政法学院教务处（招生工作办公室）</w:t>
      </w:r>
    </w:p>
    <w:p w14:paraId="28F240A7">
      <w:pPr>
        <w:spacing w:line="560" w:lineRule="exact"/>
        <w:ind w:firstLine="480" w:firstLineChars="200"/>
        <w:jc w:val="righ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二〇二六年十月十三日</w:t>
      </w:r>
    </w:p>
    <w:p w14:paraId="71BC16B3">
      <w:pPr>
        <w:spacing w:line="560" w:lineRule="exact"/>
        <w:ind w:firstLine="480" w:firstLineChars="200"/>
        <w:jc w:val="right"/>
        <w:rPr>
          <w:rFonts w:asciiTheme="minorEastAsia" w:hAnsiTheme="minorEastAsia" w:cstheme="minorEastAsia"/>
          <w:sz w:val="24"/>
        </w:rPr>
      </w:pPr>
    </w:p>
    <w:p w14:paraId="4B6BE69D">
      <w:pPr>
        <w:spacing w:line="560" w:lineRule="exact"/>
        <w:ind w:firstLine="480" w:firstLineChars="200"/>
        <w:jc w:val="right"/>
        <w:rPr>
          <w:rFonts w:asciiTheme="minorEastAsia" w:hAnsiTheme="minorEastAsia" w:cstheme="minorEastAsia"/>
          <w:sz w:val="24"/>
        </w:rPr>
      </w:pPr>
    </w:p>
    <w:p w14:paraId="0D55F1CF">
      <w:pPr>
        <w:spacing w:line="560" w:lineRule="exact"/>
        <w:ind w:firstLine="480" w:firstLineChars="200"/>
        <w:jc w:val="right"/>
        <w:rPr>
          <w:rFonts w:asciiTheme="minorEastAsia" w:hAnsiTheme="minorEastAsia" w:cstheme="minorEastAsia"/>
          <w:sz w:val="24"/>
        </w:rPr>
      </w:pPr>
    </w:p>
    <w:p w14:paraId="000AC5A8">
      <w:pPr>
        <w:spacing w:line="560" w:lineRule="exact"/>
        <w:ind w:firstLine="480" w:firstLineChars="200"/>
        <w:jc w:val="right"/>
        <w:rPr>
          <w:rFonts w:asciiTheme="minorEastAsia" w:hAnsiTheme="minorEastAsia" w:cstheme="minorEastAsia"/>
          <w:sz w:val="24"/>
        </w:rPr>
      </w:pPr>
    </w:p>
    <w:p w14:paraId="2456BEFD">
      <w:pPr>
        <w:spacing w:line="560" w:lineRule="exact"/>
        <w:ind w:firstLine="480" w:firstLineChars="200"/>
        <w:jc w:val="right"/>
        <w:rPr>
          <w:rFonts w:asciiTheme="minorEastAsia" w:hAnsiTheme="minorEastAsia" w:cstheme="minorEastAsia"/>
          <w:sz w:val="24"/>
        </w:rPr>
      </w:pPr>
    </w:p>
    <w:p w14:paraId="450B4781">
      <w:pPr>
        <w:spacing w:line="560" w:lineRule="exact"/>
        <w:ind w:firstLine="480" w:firstLineChars="200"/>
        <w:jc w:val="right"/>
        <w:rPr>
          <w:rFonts w:asciiTheme="minorEastAsia" w:hAnsiTheme="minorEastAsia" w:cstheme="minorEastAsia"/>
          <w:sz w:val="24"/>
        </w:rPr>
      </w:pPr>
    </w:p>
    <w:p w14:paraId="67443632">
      <w:pPr>
        <w:spacing w:line="560" w:lineRule="exact"/>
        <w:ind w:firstLine="480" w:firstLineChars="200"/>
        <w:jc w:val="right"/>
        <w:rPr>
          <w:rFonts w:asciiTheme="minorEastAsia" w:hAnsiTheme="minorEastAsia" w:cstheme="minorEastAsia"/>
          <w:sz w:val="24"/>
        </w:rPr>
      </w:pPr>
    </w:p>
    <w:p w14:paraId="681D99C5">
      <w:pPr>
        <w:spacing w:line="560" w:lineRule="exact"/>
        <w:ind w:firstLine="480" w:firstLineChars="200"/>
        <w:jc w:val="right"/>
        <w:rPr>
          <w:rFonts w:asciiTheme="minorEastAsia" w:hAnsiTheme="minorEastAsia" w:cstheme="minorEastAsia"/>
          <w:sz w:val="24"/>
        </w:rPr>
      </w:pPr>
    </w:p>
    <w:p w14:paraId="32738D8E">
      <w:pPr>
        <w:spacing w:line="560" w:lineRule="exact"/>
        <w:ind w:firstLine="480" w:firstLineChars="200"/>
        <w:jc w:val="right"/>
        <w:rPr>
          <w:rFonts w:asciiTheme="minorEastAsia" w:hAnsiTheme="minorEastAsia" w:cstheme="minorEastAsia"/>
          <w:sz w:val="24"/>
        </w:rPr>
      </w:pPr>
    </w:p>
    <w:p w14:paraId="07309A0A">
      <w:pPr>
        <w:spacing w:line="560" w:lineRule="exact"/>
        <w:ind w:firstLine="480" w:firstLineChars="200"/>
        <w:jc w:val="right"/>
        <w:rPr>
          <w:rFonts w:asciiTheme="minorEastAsia" w:hAnsiTheme="minorEastAsia" w:cstheme="minorEastAsia"/>
          <w:sz w:val="24"/>
        </w:rPr>
      </w:pPr>
    </w:p>
    <w:p w14:paraId="3EB1E59C">
      <w:pPr>
        <w:spacing w:line="560" w:lineRule="exact"/>
        <w:ind w:firstLine="480" w:firstLineChars="200"/>
        <w:jc w:val="right"/>
        <w:rPr>
          <w:rFonts w:asciiTheme="minorEastAsia" w:hAnsiTheme="minorEastAsia" w:cstheme="minorEastAsia"/>
          <w:sz w:val="24"/>
        </w:rPr>
      </w:pPr>
    </w:p>
    <w:p w14:paraId="6481C2A1">
      <w:pPr>
        <w:spacing w:line="560" w:lineRule="exact"/>
        <w:ind w:firstLine="480" w:firstLineChars="200"/>
        <w:jc w:val="right"/>
        <w:rPr>
          <w:rFonts w:asciiTheme="minorEastAsia" w:hAnsiTheme="minorEastAsia" w:cstheme="minorEastAsia"/>
          <w:sz w:val="24"/>
        </w:rPr>
      </w:pPr>
    </w:p>
    <w:p w14:paraId="7F50578E">
      <w:pPr>
        <w:spacing w:line="560" w:lineRule="exact"/>
        <w:ind w:firstLine="480" w:firstLineChars="200"/>
        <w:jc w:val="right"/>
        <w:rPr>
          <w:rFonts w:asciiTheme="minorEastAsia" w:hAnsiTheme="minorEastAsia" w:cstheme="minorEastAsia"/>
          <w:sz w:val="24"/>
        </w:rPr>
      </w:pPr>
    </w:p>
    <w:p w14:paraId="1F217ACE">
      <w:pPr>
        <w:spacing w:line="560" w:lineRule="exact"/>
        <w:ind w:firstLine="480" w:firstLineChars="200"/>
        <w:jc w:val="right"/>
        <w:rPr>
          <w:rFonts w:asciiTheme="minorEastAsia" w:hAnsiTheme="minorEastAsia" w:cstheme="minorEastAsia"/>
          <w:sz w:val="24"/>
        </w:rPr>
      </w:pPr>
    </w:p>
    <w:p w14:paraId="5A8B1FC3">
      <w:pPr>
        <w:spacing w:line="560" w:lineRule="exact"/>
        <w:ind w:firstLine="480" w:firstLineChars="200"/>
        <w:jc w:val="right"/>
        <w:rPr>
          <w:rFonts w:asciiTheme="minorEastAsia" w:hAnsiTheme="minorEastAsia" w:cstheme="minorEastAsia"/>
          <w:sz w:val="24"/>
        </w:rPr>
      </w:pPr>
    </w:p>
    <w:p w14:paraId="7E7EFF58"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上海政法学院2027届本科生毕业论文工作日程安排表</w:t>
      </w:r>
    </w:p>
    <w:tbl>
      <w:tblPr>
        <w:tblStyle w:val="7"/>
        <w:tblpPr w:leftFromText="180" w:rightFromText="180" w:vertAnchor="text" w:horzAnchor="page" w:tblpX="1001" w:tblpY="311"/>
        <w:tblOverlap w:val="never"/>
        <w:tblW w:w="1000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65"/>
        <w:gridCol w:w="2968"/>
        <w:gridCol w:w="4033"/>
        <w:gridCol w:w="1739"/>
      </w:tblGrid>
      <w:tr w14:paraId="2E7DF5A6">
        <w:tc>
          <w:tcPr>
            <w:tcW w:w="42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8668EC">
            <w:pPr>
              <w:widowControl/>
              <w:jc w:val="center"/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4"/>
                <w:lang w:bidi="ar"/>
              </w:rPr>
              <w:t>时</w:t>
            </w:r>
            <w:r>
              <w:rPr>
                <w:rStyle w:val="9"/>
                <w:rFonts w:ascii="Calibri" w:hAnsi="Calibri" w:eastAsia="宋体" w:cs="Times New Roman"/>
                <w:kern w:val="0"/>
                <w:sz w:val="24"/>
                <w:lang w:bidi="ar"/>
              </w:rPr>
              <w:t>  间</w:t>
            </w:r>
          </w:p>
        </w:tc>
        <w:tc>
          <w:tcPr>
            <w:tcW w:w="4033" w:type="dxa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35FC86">
            <w:pPr>
              <w:widowControl/>
              <w:jc w:val="center"/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4"/>
                <w:lang w:bidi="ar"/>
              </w:rPr>
              <w:t>内</w:t>
            </w:r>
            <w:r>
              <w:rPr>
                <w:rStyle w:val="9"/>
                <w:rFonts w:ascii="Calibri" w:hAnsi="Calibri" w:eastAsia="宋体" w:cs="Times New Roman"/>
                <w:kern w:val="0"/>
                <w:sz w:val="24"/>
                <w:lang w:bidi="ar"/>
              </w:rPr>
              <w:t>  容</w:t>
            </w:r>
          </w:p>
        </w:tc>
        <w:tc>
          <w:tcPr>
            <w:tcW w:w="1739" w:type="dxa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171037">
            <w:pPr>
              <w:widowControl/>
              <w:jc w:val="center"/>
            </w:pPr>
            <w:r>
              <w:rPr>
                <w:rStyle w:val="9"/>
                <w:rFonts w:ascii="Calibri" w:hAnsi="Calibri" w:eastAsia="宋体" w:cs="Times New Roman"/>
                <w:kern w:val="0"/>
                <w:sz w:val="24"/>
                <w:lang w:bidi="ar"/>
              </w:rPr>
              <w:t>负责部门</w:t>
            </w:r>
          </w:p>
          <w:p w14:paraId="6E86C3A6">
            <w:pPr>
              <w:widowControl/>
              <w:jc w:val="center"/>
            </w:pPr>
            <w:r>
              <w:rPr>
                <w:rStyle w:val="9"/>
                <w:rFonts w:ascii="Calibri" w:hAnsi="Calibri" w:eastAsia="宋体" w:cs="Times New Roman"/>
                <w:kern w:val="0"/>
                <w:sz w:val="24"/>
                <w:lang w:bidi="ar"/>
              </w:rPr>
              <w:t>或负责人</w:t>
            </w:r>
          </w:p>
        </w:tc>
      </w:tr>
      <w:tr w14:paraId="0838CF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14DE3F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202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6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—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2027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学年</w:t>
            </w:r>
          </w:p>
          <w:p w14:paraId="1C7E9F7E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秋季学期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88915E">
            <w:pPr>
              <w:widowControl/>
              <w:jc w:val="center"/>
              <w:textAlignment w:val="center"/>
            </w:pPr>
            <w:r>
              <w:rPr>
                <w:rStyle w:val="9"/>
                <w:rFonts w:ascii="Calibri" w:hAnsi="Calibri" w:eastAsia="宋体" w:cs="Times New Roman"/>
                <w:kern w:val="0"/>
                <w:sz w:val="24"/>
                <w:lang w:bidi="ar"/>
              </w:rPr>
              <w:t>秋季学期</w:t>
            </w:r>
          </w:p>
          <w:p w14:paraId="201CA3C2">
            <w:pPr>
              <w:widowControl/>
              <w:jc w:val="center"/>
              <w:textAlignment w:val="center"/>
            </w:pPr>
            <w:r>
              <w:rPr>
                <w:rFonts w:hint="eastAsia" w:cs="Times New Roman"/>
                <w:kern w:val="0"/>
                <w:szCs w:val="21"/>
                <w:lang w:bidi="ar"/>
              </w:rPr>
              <w:t>第5周</w:t>
            </w:r>
          </w:p>
        </w:tc>
        <w:tc>
          <w:tcPr>
            <w:tcW w:w="4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207EB39">
            <w:pPr>
              <w:widowControl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教务处制订毕业论文工作计划与日程安排表，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做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毕业论文前期准备工作。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DDC5A5">
            <w:pPr>
              <w:widowControl/>
              <w:jc w:val="left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教务处</w:t>
            </w:r>
          </w:p>
          <w:p w14:paraId="093923F1">
            <w:pPr>
              <w:widowControl/>
              <w:jc w:val="left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二级学院院长</w:t>
            </w:r>
          </w:p>
        </w:tc>
      </w:tr>
      <w:tr w14:paraId="1EEDD8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</w:trPr>
        <w:tc>
          <w:tcPr>
            <w:tcW w:w="12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DFADA9">
            <w:pPr>
              <w:rPr>
                <w:rFonts w:ascii="宋体"/>
                <w:sz w:val="24"/>
              </w:rPr>
            </w:pP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480E96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第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6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周</w:t>
            </w:r>
          </w:p>
        </w:tc>
        <w:tc>
          <w:tcPr>
            <w:tcW w:w="4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34122C5">
            <w:pPr>
              <w:widowControl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各二级学院开始毕业论文前期准备工作。</w:t>
            </w:r>
          </w:p>
          <w:p w14:paraId="34409A3B">
            <w:pPr>
              <w:widowControl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各二级学院修订毕业论文大纲。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6B795B">
            <w:pPr>
              <w:widowControl/>
              <w:jc w:val="left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二级学院院长</w:t>
            </w:r>
          </w:p>
        </w:tc>
      </w:tr>
      <w:tr w14:paraId="0857CB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9AE185">
            <w:pPr>
              <w:rPr>
                <w:rFonts w:ascii="宋体"/>
                <w:sz w:val="24"/>
              </w:rPr>
            </w:pP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36C06E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第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6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周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-第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7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周</w:t>
            </w:r>
          </w:p>
        </w:tc>
        <w:tc>
          <w:tcPr>
            <w:tcW w:w="4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FBBF3D9">
            <w:pPr>
              <w:widowControl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各二级学院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组织指导教师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拟定毕业论文参选题目，并向学生公布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。</w:t>
            </w:r>
          </w:p>
          <w:p w14:paraId="424D87E9">
            <w:pPr>
              <w:widowControl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举办毕业论文辅导讲座，组织、指导、帮助学生选题。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769F07">
            <w:pPr>
              <w:widowControl/>
              <w:jc w:val="left"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二级学院院长</w:t>
            </w:r>
          </w:p>
          <w:p w14:paraId="3C8AC45D">
            <w:pPr>
              <w:widowControl/>
              <w:jc w:val="left"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指导教师</w:t>
            </w:r>
          </w:p>
        </w:tc>
      </w:tr>
      <w:tr w14:paraId="2C062A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556140">
            <w:pPr>
              <w:rPr>
                <w:rFonts w:ascii="宋体"/>
                <w:sz w:val="24"/>
              </w:rPr>
            </w:pP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E943F4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第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8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周-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第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9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周</w:t>
            </w:r>
          </w:p>
        </w:tc>
        <w:tc>
          <w:tcPr>
            <w:tcW w:w="4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09E7457">
            <w:pPr>
              <w:widowControl/>
              <w:textAlignment w:val="center"/>
            </w:pP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各二级学院组织学生选题。（师生双选）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E2F490">
            <w:pPr>
              <w:widowControl/>
              <w:jc w:val="left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二级学院院长</w:t>
            </w:r>
          </w:p>
        </w:tc>
      </w:tr>
      <w:tr w14:paraId="1206F3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BAF3CA">
            <w:pPr>
              <w:rPr>
                <w:rFonts w:ascii="宋体"/>
                <w:sz w:val="24"/>
              </w:rPr>
            </w:pP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5750B7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第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10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周-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第1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2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周</w:t>
            </w:r>
          </w:p>
        </w:tc>
        <w:tc>
          <w:tcPr>
            <w:tcW w:w="4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B766CBE">
            <w:pPr>
              <w:widowControl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指导教师指导学生定题，并填写论文开题报告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，完成审核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。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（上传开题报告）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22E233">
            <w:pPr>
              <w:widowControl/>
              <w:jc w:val="left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指导教师</w:t>
            </w:r>
          </w:p>
        </w:tc>
      </w:tr>
      <w:tr w14:paraId="74E68B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DB3F32">
            <w:pPr>
              <w:rPr>
                <w:rFonts w:ascii="宋体"/>
                <w:sz w:val="24"/>
              </w:rPr>
            </w:pP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AB50B7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第1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3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周-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第1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4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周</w:t>
            </w:r>
          </w:p>
        </w:tc>
        <w:tc>
          <w:tcPr>
            <w:tcW w:w="4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6D9EAEF">
            <w:pPr>
              <w:widowControl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各二级学院对毕业论文进行前期检查。如发现问题，相关二级学院应予以整改。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E499CF">
            <w:pPr>
              <w:widowControl/>
              <w:jc w:val="left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二级学院院长</w:t>
            </w:r>
          </w:p>
        </w:tc>
      </w:tr>
      <w:tr w14:paraId="2D6E2A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</w:trPr>
        <w:tc>
          <w:tcPr>
            <w:tcW w:w="12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D89C44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202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6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—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2027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学年</w:t>
            </w:r>
          </w:p>
          <w:p w14:paraId="380ECBFF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春季学期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E494C4">
            <w:pPr>
              <w:widowControl/>
              <w:jc w:val="center"/>
              <w:textAlignment w:val="center"/>
              <w:rPr>
                <w:rStyle w:val="9"/>
                <w:rFonts w:ascii="Calibri" w:hAnsi="Calibri" w:eastAsia="宋体" w:cs="Times New Roman"/>
                <w:kern w:val="0"/>
                <w:sz w:val="24"/>
                <w:lang w:bidi="ar"/>
              </w:rPr>
            </w:pPr>
            <w:r>
              <w:rPr>
                <w:rStyle w:val="9"/>
                <w:rFonts w:ascii="Calibri" w:hAnsi="Calibri" w:eastAsia="宋体" w:cs="Times New Roman"/>
                <w:kern w:val="0"/>
                <w:sz w:val="24"/>
                <w:lang w:bidi="ar"/>
              </w:rPr>
              <w:t>春季学期</w:t>
            </w:r>
          </w:p>
          <w:p w14:paraId="5F265E05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第1周-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第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8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周</w:t>
            </w:r>
          </w:p>
        </w:tc>
        <w:tc>
          <w:tcPr>
            <w:tcW w:w="4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DD33048">
            <w:pPr>
              <w:widowControl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学生在指导教师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的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指导下撰写并修改毕业论文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（上传初稿）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。</w:t>
            </w:r>
          </w:p>
          <w:p w14:paraId="1A1F9503">
            <w:pPr>
              <w:widowControl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各二级学院组织毕业论文中期检查工作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。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27CC79">
            <w:pPr>
              <w:widowControl/>
              <w:jc w:val="left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指导教师</w:t>
            </w:r>
          </w:p>
        </w:tc>
      </w:tr>
      <w:tr w14:paraId="7295D2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</w:trPr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F9E3DA">
            <w:pPr>
              <w:widowControl/>
              <w:jc w:val="center"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BF0C1B">
            <w:pPr>
              <w:widowControl/>
              <w:jc w:val="center"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第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9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周</w:t>
            </w:r>
          </w:p>
        </w:tc>
        <w:tc>
          <w:tcPr>
            <w:tcW w:w="4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383CB6D">
            <w:pPr>
              <w:widowControl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对学生论文进行查重检测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（上传检测稿）。</w:t>
            </w:r>
          </w:p>
          <w:p w14:paraId="2E10921F">
            <w:pPr>
              <w:widowControl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指导教师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对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论文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进行评阅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，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评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出评语和成绩。</w:t>
            </w:r>
          </w:p>
          <w:p w14:paraId="29C2ED5C">
            <w:pPr>
              <w:widowControl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评阅教师评阅论文，评出评阅成绩。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5C8B3F">
            <w:pPr>
              <w:widowControl/>
              <w:jc w:val="left"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二级学院院长</w:t>
            </w:r>
          </w:p>
          <w:p w14:paraId="525FE0AB">
            <w:pPr>
              <w:widowControl/>
              <w:jc w:val="left"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指导教师</w:t>
            </w:r>
          </w:p>
          <w:p w14:paraId="0470C695">
            <w:pPr>
              <w:widowControl/>
              <w:jc w:val="left"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评阅教师</w:t>
            </w:r>
          </w:p>
        </w:tc>
      </w:tr>
      <w:tr w14:paraId="0CEA76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30" w:hRule="atLeast"/>
        </w:trPr>
        <w:tc>
          <w:tcPr>
            <w:tcW w:w="12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2DC2F5">
            <w:pPr>
              <w:rPr>
                <w:rFonts w:ascii="宋体"/>
                <w:sz w:val="24"/>
              </w:rPr>
            </w:pP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6D64E7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第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10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周-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第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11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周</w:t>
            </w:r>
          </w:p>
        </w:tc>
        <w:tc>
          <w:tcPr>
            <w:tcW w:w="40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F8F9443">
            <w:pPr>
              <w:widowControl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教学质量督查与评估办公室组织校外专家对本科毕业论文（设计）进行校内抽检。</w:t>
            </w:r>
          </w:p>
          <w:p w14:paraId="56DBD657">
            <w:pPr>
              <w:widowControl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（请各二级学院务必在第9周完成查重工作）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C8AB2F">
            <w:pPr>
              <w:widowControl/>
              <w:jc w:val="left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质管办</w:t>
            </w:r>
          </w:p>
          <w:p w14:paraId="160C0365">
            <w:pPr>
              <w:widowControl/>
              <w:jc w:val="left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二级学院院长</w:t>
            </w:r>
          </w:p>
          <w:p w14:paraId="79A4BC1A">
            <w:pPr>
              <w:widowControl/>
              <w:jc w:val="left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教学秘书</w:t>
            </w:r>
          </w:p>
        </w:tc>
      </w:tr>
      <w:tr w14:paraId="521261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29" w:hRule="atLeast"/>
        </w:trPr>
        <w:tc>
          <w:tcPr>
            <w:tcW w:w="12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74B980">
            <w:pPr>
              <w:rPr>
                <w:rFonts w:ascii="宋体"/>
                <w:sz w:val="24"/>
              </w:rPr>
            </w:pP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495BD4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第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12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周-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第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13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周</w:t>
            </w:r>
          </w:p>
        </w:tc>
        <w:tc>
          <w:tcPr>
            <w:tcW w:w="4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37E2E88">
            <w:pPr>
              <w:widowControl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各二级学院组织论文答辩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（含二辩）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，评定、审核、汇总、登录学生毕业论文综合成绩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。</w:t>
            </w:r>
          </w:p>
          <w:p w14:paraId="6E61358D">
            <w:pPr>
              <w:widowControl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各二级学院提交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优秀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毕业论文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论文申报材料交教务处。</w:t>
            </w:r>
          </w:p>
          <w:p w14:paraId="5C7CDB05">
            <w:pPr>
              <w:widowControl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各二级学院督促学生上传最终稿。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90D939">
            <w:pPr>
              <w:widowControl/>
              <w:jc w:val="left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二级学院答辩小组成员、</w:t>
            </w:r>
          </w:p>
          <w:p w14:paraId="79B2645F">
            <w:pPr>
              <w:widowControl/>
              <w:jc w:val="left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教学秘书</w:t>
            </w:r>
          </w:p>
        </w:tc>
      </w:tr>
      <w:tr w14:paraId="7AA1D5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23CD91">
            <w:pPr>
              <w:rPr>
                <w:rFonts w:ascii="宋体"/>
                <w:sz w:val="24"/>
              </w:rPr>
            </w:pP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B7DD1B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第</w:t>
            </w:r>
            <w:r>
              <w:rPr>
                <w:rFonts w:hint="eastAsia" w:cs="Times New Roman"/>
                <w:kern w:val="0"/>
                <w:szCs w:val="21"/>
                <w:lang w:bidi="ar"/>
              </w:rPr>
              <w:t>13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周</w:t>
            </w:r>
          </w:p>
        </w:tc>
        <w:tc>
          <w:tcPr>
            <w:tcW w:w="4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A74F9BD">
            <w:pPr>
              <w:widowControl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各二级学院组织毕业论文自查工作，并作工作总结。</w:t>
            </w:r>
          </w:p>
          <w:p w14:paraId="22F087CA">
            <w:pPr>
              <w:widowControl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教务处对优秀毕业论文进行审核。</w:t>
            </w:r>
          </w:p>
          <w:p w14:paraId="33C330F4">
            <w:pPr>
              <w:widowControl/>
              <w:textAlignment w:val="center"/>
              <w:rPr>
                <w:rFonts w:ascii="Calibri" w:hAnsi="Calibri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教务处导出毕业论文成绩。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E88A37">
            <w:pPr>
              <w:widowControl/>
              <w:jc w:val="left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二级学院院长、教学秘书、</w:t>
            </w:r>
          </w:p>
          <w:p w14:paraId="62709350">
            <w:pPr>
              <w:widowControl/>
              <w:jc w:val="left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教务处</w:t>
            </w:r>
          </w:p>
        </w:tc>
      </w:tr>
      <w:tr w14:paraId="799A60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A0B041">
            <w:pPr>
              <w:rPr>
                <w:rFonts w:ascii="宋体"/>
                <w:sz w:val="24"/>
              </w:rPr>
            </w:pP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C26A63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第1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3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周之后</w:t>
            </w:r>
          </w:p>
        </w:tc>
        <w:tc>
          <w:tcPr>
            <w:tcW w:w="4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BFF1373">
            <w:pPr>
              <w:widowControl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根据市教委、教育督导办等部门的通知要求，组织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各二级学院准备</w:t>
            </w: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本科专业毕业论文抽检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>。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F120BF">
            <w:pPr>
              <w:widowControl/>
              <w:jc w:val="left"/>
              <w:textAlignment w:val="center"/>
            </w:pPr>
            <w:r>
              <w:rPr>
                <w:rFonts w:ascii="Calibri" w:hAnsi="Calibri" w:eastAsia="宋体" w:cs="Times New Roman"/>
                <w:kern w:val="0"/>
                <w:szCs w:val="21"/>
                <w:lang w:bidi="ar"/>
              </w:rPr>
              <w:t>质管办、教务处、二级学院院长、教学秘书</w:t>
            </w:r>
          </w:p>
        </w:tc>
      </w:tr>
    </w:tbl>
    <w:p w14:paraId="33063FDF">
      <w:pPr>
        <w:widowControl/>
        <w:jc w:val="left"/>
        <w:textAlignment w:val="center"/>
        <w:rPr>
          <w:rFonts w:ascii="Calibri" w:hAnsi="Calibri" w:eastAsia="宋体" w:cs="Times New Roman"/>
          <w:kern w:val="0"/>
          <w:szCs w:val="21"/>
          <w:lang w:bidi="ar"/>
        </w:rPr>
      </w:pPr>
      <w:r>
        <w:rPr>
          <w:rFonts w:hint="eastAsia" w:ascii="Calibri" w:hAnsi="Calibri" w:eastAsia="宋体" w:cs="Times New Roman"/>
          <w:kern w:val="0"/>
          <w:szCs w:val="21"/>
          <w:lang w:bidi="ar"/>
        </w:rPr>
        <w:t>注：毕业论文工作过程中中请及时上传指导记录并审核。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37EFFD1-F2A8-45D3-BB99-DCE860FFB01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3A439C3-B772-4833-873B-A1B8C02C616B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AEB39805-D3BD-4C98-ADB3-C62F68D3C94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B36776"/>
    <w:multiLevelType w:val="singleLevel"/>
    <w:tmpl w:val="3BB3677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VkYjI2MjU5Nzk0YTIwZWJjM2I0NmU1M2I4ZGU4ZDMifQ=="/>
  </w:docVars>
  <w:rsids>
    <w:rsidRoot w:val="00D103BE"/>
    <w:rsid w:val="0082306C"/>
    <w:rsid w:val="00843118"/>
    <w:rsid w:val="008A7A63"/>
    <w:rsid w:val="00904092"/>
    <w:rsid w:val="00A55BBB"/>
    <w:rsid w:val="00B2643D"/>
    <w:rsid w:val="00D103BE"/>
    <w:rsid w:val="00DB4E92"/>
    <w:rsid w:val="01CE09D9"/>
    <w:rsid w:val="01DF79C5"/>
    <w:rsid w:val="02337D11"/>
    <w:rsid w:val="03710AF1"/>
    <w:rsid w:val="03B57D01"/>
    <w:rsid w:val="05823F16"/>
    <w:rsid w:val="058A5E9A"/>
    <w:rsid w:val="068E19BA"/>
    <w:rsid w:val="085B3B1D"/>
    <w:rsid w:val="0902043D"/>
    <w:rsid w:val="09ED2E9B"/>
    <w:rsid w:val="0A9D3E23"/>
    <w:rsid w:val="0CA75583"/>
    <w:rsid w:val="0D0522AA"/>
    <w:rsid w:val="0DA13379"/>
    <w:rsid w:val="0F54365A"/>
    <w:rsid w:val="10521CAA"/>
    <w:rsid w:val="15811B8E"/>
    <w:rsid w:val="163F4A7E"/>
    <w:rsid w:val="164B3423"/>
    <w:rsid w:val="16F81E79"/>
    <w:rsid w:val="18CD4D8A"/>
    <w:rsid w:val="1B1E7FB4"/>
    <w:rsid w:val="1DA43419"/>
    <w:rsid w:val="1E5011F2"/>
    <w:rsid w:val="20E51E63"/>
    <w:rsid w:val="212B632B"/>
    <w:rsid w:val="21CD73E2"/>
    <w:rsid w:val="21FF4666"/>
    <w:rsid w:val="235049CC"/>
    <w:rsid w:val="23AD1279"/>
    <w:rsid w:val="24EB2E61"/>
    <w:rsid w:val="26565597"/>
    <w:rsid w:val="289E170C"/>
    <w:rsid w:val="28A013AD"/>
    <w:rsid w:val="28C52BC1"/>
    <w:rsid w:val="291E6775"/>
    <w:rsid w:val="295C2E4D"/>
    <w:rsid w:val="2CAF6281"/>
    <w:rsid w:val="2F0957D2"/>
    <w:rsid w:val="2FDE27BA"/>
    <w:rsid w:val="354237EC"/>
    <w:rsid w:val="3A2160C5"/>
    <w:rsid w:val="3E7F1686"/>
    <w:rsid w:val="3F3E0A55"/>
    <w:rsid w:val="412C1F7C"/>
    <w:rsid w:val="430976F7"/>
    <w:rsid w:val="47610A74"/>
    <w:rsid w:val="48F07E89"/>
    <w:rsid w:val="495A2BC7"/>
    <w:rsid w:val="498537AA"/>
    <w:rsid w:val="4B062139"/>
    <w:rsid w:val="4B6202EC"/>
    <w:rsid w:val="4C940979"/>
    <w:rsid w:val="4F4B5F47"/>
    <w:rsid w:val="50FD5237"/>
    <w:rsid w:val="52056141"/>
    <w:rsid w:val="520A5361"/>
    <w:rsid w:val="544762D1"/>
    <w:rsid w:val="5795562C"/>
    <w:rsid w:val="58922210"/>
    <w:rsid w:val="58A12453"/>
    <w:rsid w:val="5C5872CD"/>
    <w:rsid w:val="5E287173"/>
    <w:rsid w:val="5F416030"/>
    <w:rsid w:val="60FA0813"/>
    <w:rsid w:val="613B0F6B"/>
    <w:rsid w:val="616E0213"/>
    <w:rsid w:val="61E17D65"/>
    <w:rsid w:val="62885B17"/>
    <w:rsid w:val="66434D00"/>
    <w:rsid w:val="66FF63A4"/>
    <w:rsid w:val="6A23521E"/>
    <w:rsid w:val="6CCE7137"/>
    <w:rsid w:val="6D550DBE"/>
    <w:rsid w:val="700E7837"/>
    <w:rsid w:val="71F33B3A"/>
    <w:rsid w:val="72B34E05"/>
    <w:rsid w:val="73F43927"/>
    <w:rsid w:val="76053BCA"/>
    <w:rsid w:val="774B1AB0"/>
    <w:rsid w:val="78322C70"/>
    <w:rsid w:val="787B5658"/>
    <w:rsid w:val="7F32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  <w:pPr>
      <w:jc w:val="left"/>
    </w:p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uiPriority w:val="0"/>
    <w:rPr>
      <w:b/>
      <w:bCs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styleId="11">
    <w:name w:val="annotation reference"/>
    <w:basedOn w:val="8"/>
    <w:qFormat/>
    <w:uiPriority w:val="0"/>
    <w:rPr>
      <w:sz w:val="21"/>
      <w:szCs w:val="21"/>
    </w:rPr>
  </w:style>
  <w:style w:type="character" w:customStyle="1" w:styleId="12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文字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5">
    <w:name w:val="批注主题 字符"/>
    <w:basedOn w:val="14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6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2782</Words>
  <Characters>2866</Characters>
  <Lines>22</Lines>
  <Paragraphs>6</Paragraphs>
  <TotalTime>14</TotalTime>
  <ScaleCrop>false</ScaleCrop>
  <LinksUpToDate>false</LinksUpToDate>
  <CharactersWithSpaces>2876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2026-10-12T06:26:00Z</dcterms:created>
  <dc:creator>admin</dc:creator>
  <cp:lastModifiedBy> 皮皮黑</cp:lastModifiedBy>
  <cp:lastPrinted>2023-10-19T00:25:00Z</cp:lastPrinted>
  <dcterms:modified xsi:type="dcterms:W3CDTF">2026-10-12T06:36:07Z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E7AFD87EA5104E58B7352EBD141C5067_13</vt:lpwstr>
  </property>
  <property fmtid="{D5CDD505-2E9C-101B-9397-08002B2CF9AE}" pid="4" name="KSOTemplateDocerSaveRecord">
    <vt:lpwstr>eyJoZGlkIjoiMGVkYjI2MjU5Nzk0YTIwZWJjM2I0NmU1M2I4ZGU4ZDMiLCJ1c2VySWQiOiI1OTQxODQwNzgifQ==</vt:lpwstr>
  </property>
</Properties>
</file>