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BED" w:rsidRDefault="007D0BED" w:rsidP="007D0BED">
      <w:pPr>
        <w:jc w:val="center"/>
        <w:rPr>
          <w:rStyle w:val="Char1"/>
        </w:rPr>
      </w:pPr>
      <w:bookmarkStart w:id="0" w:name="_Toc454360967"/>
      <w:r>
        <w:rPr>
          <w:rStyle w:val="Char1"/>
          <w:rFonts w:hint="eastAsia"/>
        </w:rPr>
        <w:t>上海政法学院硕士研究生新生学业奖学金评选办法（试行）</w:t>
      </w:r>
      <w:bookmarkEnd w:id="0"/>
    </w:p>
    <w:p w:rsidR="007D0BED" w:rsidRDefault="007D0BED" w:rsidP="007D0BED">
      <w:pPr>
        <w:widowControl/>
        <w:jc w:val="center"/>
        <w:rPr>
          <w:rFonts w:ascii="宋体" w:hAnsi="宋体" w:cs="宋体" w:hint="eastAsia"/>
          <w:b/>
          <w:kern w:val="0"/>
          <w:sz w:val="28"/>
          <w:szCs w:val="28"/>
        </w:rPr>
      </w:pPr>
      <w:r>
        <w:rPr>
          <w:rFonts w:ascii="宋体" w:hAnsi="宋体" w:cs="宋体" w:hint="eastAsia"/>
          <w:b/>
          <w:kern w:val="0"/>
          <w:sz w:val="28"/>
          <w:szCs w:val="28"/>
          <w:lang/>
        </w:rPr>
        <w:t>第一章  总 则</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第一条 为进一步深化研究生教育改革，提升研究生生源质量，并为了更好地支持全面收费制度背景下的研究生完成学业，从2015年秋季起，学校决定设立硕士研究生新生学业奖学金。为规范硕士研究生新生学业奖学金的评定工作，特制定本办法。</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第二条 研究生新生学业奖学金的评选对象为具有中华人民共和国国籍、纳入全国研究生招生计划的2015级及以后的的非定向全日制研究生。奖金及证书在取得学籍后发放。</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第三条 研究生新生学业奖学金的评定工作需在新生取得学籍后开展，坚持公开、公平、公正的原则，严格执行国家相关教育法规，杜绝弄虚作假。</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第四条 学校每年从国家划拨的研究生学业奖学金专项经费和学校自筹经费中，单列研究生新生学业奖学金专项经费，专款专用。</w:t>
      </w:r>
    </w:p>
    <w:p w:rsidR="007D0BED" w:rsidRDefault="007D0BED" w:rsidP="007D0BED">
      <w:pPr>
        <w:widowControl/>
        <w:jc w:val="center"/>
        <w:rPr>
          <w:rFonts w:ascii="宋体" w:hAnsi="宋体" w:cs="宋体" w:hint="eastAsia"/>
          <w:b/>
          <w:kern w:val="0"/>
          <w:sz w:val="28"/>
          <w:szCs w:val="28"/>
        </w:rPr>
      </w:pPr>
      <w:r>
        <w:rPr>
          <w:rFonts w:ascii="宋体" w:hAnsi="宋体" w:cs="宋体" w:hint="eastAsia"/>
          <w:b/>
          <w:kern w:val="0"/>
          <w:sz w:val="28"/>
          <w:szCs w:val="28"/>
          <w:lang/>
        </w:rPr>
        <w:t>第二章 评定比例和发放标准</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第五条 硕士研究生新生学业奖学金共设一等奖、二等奖和三等奖三个等级。具体如下：</w:t>
      </w:r>
    </w:p>
    <w:tbl>
      <w:tblPr>
        <w:tblW w:w="0" w:type="auto"/>
        <w:shd w:val="clear" w:color="auto" w:fill="CFE1F7"/>
        <w:tblLayout w:type="fixed"/>
        <w:tblLook w:val="0000"/>
      </w:tblPr>
      <w:tblGrid>
        <w:gridCol w:w="2840"/>
        <w:gridCol w:w="1408"/>
        <w:gridCol w:w="1800"/>
        <w:gridCol w:w="2474"/>
      </w:tblGrid>
      <w:tr w:rsidR="007D0BED" w:rsidRPr="00747290" w:rsidTr="006B63C3">
        <w:tc>
          <w:tcPr>
            <w:tcW w:w="2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专业类别</w:t>
            </w:r>
          </w:p>
        </w:tc>
        <w:tc>
          <w:tcPr>
            <w:tcW w:w="1408" w:type="dxa"/>
            <w:tcBorders>
              <w:top w:val="single" w:sz="4" w:space="0" w:color="000000"/>
              <w:left w:val="nil"/>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等 级</w:t>
            </w:r>
          </w:p>
        </w:tc>
        <w:tc>
          <w:tcPr>
            <w:tcW w:w="1800" w:type="dxa"/>
            <w:tcBorders>
              <w:top w:val="single" w:sz="4" w:space="0" w:color="000000"/>
              <w:left w:val="nil"/>
              <w:bottom w:val="single" w:sz="4" w:space="0" w:color="000000"/>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评定比例</w:t>
            </w:r>
          </w:p>
        </w:tc>
        <w:tc>
          <w:tcPr>
            <w:tcW w:w="2474" w:type="dxa"/>
            <w:tcBorders>
              <w:top w:val="single" w:sz="4" w:space="0" w:color="000000"/>
              <w:left w:val="nil"/>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金  额</w:t>
            </w:r>
          </w:p>
        </w:tc>
      </w:tr>
      <w:tr w:rsidR="007D0BED" w:rsidRPr="00747290" w:rsidTr="006B63C3">
        <w:trPr>
          <w:trHeight w:val="299"/>
        </w:trPr>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学术型硕士研究生</w:t>
            </w:r>
          </w:p>
        </w:tc>
        <w:tc>
          <w:tcPr>
            <w:tcW w:w="1408"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一等</w:t>
            </w:r>
          </w:p>
        </w:tc>
        <w:tc>
          <w:tcPr>
            <w:tcW w:w="1800" w:type="dxa"/>
            <w:tcBorders>
              <w:top w:val="nil"/>
              <w:left w:val="nil"/>
              <w:bottom w:val="single" w:sz="4" w:space="0" w:color="auto"/>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5%</w:t>
            </w:r>
          </w:p>
        </w:tc>
        <w:tc>
          <w:tcPr>
            <w:tcW w:w="2474"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6000元/学年/人</w:t>
            </w:r>
          </w:p>
        </w:tc>
      </w:tr>
      <w:tr w:rsidR="007D0BED" w:rsidRPr="00747290" w:rsidTr="006B63C3">
        <w:trPr>
          <w:trHeight w:val="300"/>
        </w:trPr>
        <w:tc>
          <w:tcPr>
            <w:tcW w:w="2840" w:type="dxa"/>
            <w:vMerge/>
            <w:tcBorders>
              <w:top w:val="nil"/>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color w:val="000000"/>
                <w:kern w:val="0"/>
              </w:rPr>
            </w:pPr>
          </w:p>
        </w:tc>
        <w:tc>
          <w:tcPr>
            <w:tcW w:w="1408"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二等</w:t>
            </w:r>
          </w:p>
        </w:tc>
        <w:tc>
          <w:tcPr>
            <w:tcW w:w="1800" w:type="dxa"/>
            <w:tcBorders>
              <w:top w:val="nil"/>
              <w:left w:val="nil"/>
              <w:bottom w:val="single" w:sz="4" w:space="0" w:color="auto"/>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10%</w:t>
            </w:r>
          </w:p>
        </w:tc>
        <w:tc>
          <w:tcPr>
            <w:tcW w:w="2474"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4000元/学年/人</w:t>
            </w:r>
          </w:p>
        </w:tc>
      </w:tr>
      <w:tr w:rsidR="007D0BED" w:rsidRPr="00747290" w:rsidTr="006B63C3">
        <w:trPr>
          <w:trHeight w:val="330"/>
        </w:trPr>
        <w:tc>
          <w:tcPr>
            <w:tcW w:w="2840" w:type="dxa"/>
            <w:vMerge/>
            <w:tcBorders>
              <w:top w:val="nil"/>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color w:val="000000"/>
                <w:kern w:val="0"/>
              </w:rPr>
            </w:pPr>
          </w:p>
        </w:tc>
        <w:tc>
          <w:tcPr>
            <w:tcW w:w="1408" w:type="dxa"/>
            <w:tcBorders>
              <w:top w:val="nil"/>
              <w:left w:val="nil"/>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三等</w:t>
            </w:r>
          </w:p>
        </w:tc>
        <w:tc>
          <w:tcPr>
            <w:tcW w:w="1800" w:type="dxa"/>
            <w:tcBorders>
              <w:top w:val="nil"/>
              <w:left w:val="nil"/>
              <w:bottom w:val="single" w:sz="4" w:space="0" w:color="000000"/>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40%</w:t>
            </w:r>
          </w:p>
        </w:tc>
        <w:tc>
          <w:tcPr>
            <w:tcW w:w="2474" w:type="dxa"/>
            <w:tcBorders>
              <w:top w:val="nil"/>
              <w:left w:val="nil"/>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2000元/学年/人</w:t>
            </w:r>
          </w:p>
        </w:tc>
      </w:tr>
      <w:tr w:rsidR="007D0BED" w:rsidRPr="00747290" w:rsidTr="006B63C3">
        <w:trPr>
          <w:trHeight w:val="380"/>
        </w:trPr>
        <w:tc>
          <w:tcPr>
            <w:tcW w:w="2840" w:type="dxa"/>
            <w:vMerge w:val="restart"/>
            <w:tcBorders>
              <w:top w:val="nil"/>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专业型硕士研究生</w:t>
            </w:r>
          </w:p>
        </w:tc>
        <w:tc>
          <w:tcPr>
            <w:tcW w:w="1408"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一等</w:t>
            </w:r>
          </w:p>
        </w:tc>
        <w:tc>
          <w:tcPr>
            <w:tcW w:w="1800" w:type="dxa"/>
            <w:tcBorders>
              <w:top w:val="nil"/>
              <w:left w:val="nil"/>
              <w:bottom w:val="single" w:sz="4" w:space="0" w:color="auto"/>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10%</w:t>
            </w:r>
          </w:p>
        </w:tc>
        <w:tc>
          <w:tcPr>
            <w:tcW w:w="2474"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3000元/学年/人</w:t>
            </w:r>
          </w:p>
        </w:tc>
      </w:tr>
      <w:tr w:rsidR="007D0BED" w:rsidRPr="00747290" w:rsidTr="006B63C3">
        <w:trPr>
          <w:trHeight w:val="315"/>
        </w:trPr>
        <w:tc>
          <w:tcPr>
            <w:tcW w:w="2840" w:type="dxa"/>
            <w:vMerge/>
            <w:tcBorders>
              <w:top w:val="nil"/>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color w:val="000000"/>
                <w:kern w:val="0"/>
              </w:rPr>
            </w:pPr>
          </w:p>
        </w:tc>
        <w:tc>
          <w:tcPr>
            <w:tcW w:w="1408"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二等</w:t>
            </w:r>
          </w:p>
        </w:tc>
        <w:tc>
          <w:tcPr>
            <w:tcW w:w="1800" w:type="dxa"/>
            <w:tcBorders>
              <w:top w:val="nil"/>
              <w:left w:val="nil"/>
              <w:bottom w:val="single" w:sz="4" w:space="0" w:color="auto"/>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20%</w:t>
            </w:r>
          </w:p>
        </w:tc>
        <w:tc>
          <w:tcPr>
            <w:tcW w:w="2474" w:type="dxa"/>
            <w:tcBorders>
              <w:top w:val="nil"/>
              <w:left w:val="nil"/>
              <w:bottom w:val="single" w:sz="4" w:space="0" w:color="auto"/>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2000元/学年/人</w:t>
            </w:r>
          </w:p>
        </w:tc>
      </w:tr>
      <w:tr w:rsidR="007D0BED" w:rsidTr="006B63C3">
        <w:trPr>
          <w:trHeight w:val="138"/>
        </w:trPr>
        <w:tc>
          <w:tcPr>
            <w:tcW w:w="2840" w:type="dxa"/>
            <w:vMerge/>
            <w:tcBorders>
              <w:top w:val="nil"/>
              <w:left w:val="single" w:sz="4" w:space="0" w:color="000000"/>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color w:val="000000"/>
                <w:kern w:val="0"/>
              </w:rPr>
            </w:pPr>
          </w:p>
        </w:tc>
        <w:tc>
          <w:tcPr>
            <w:tcW w:w="1408" w:type="dxa"/>
            <w:tcBorders>
              <w:top w:val="nil"/>
              <w:left w:val="nil"/>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三等</w:t>
            </w:r>
          </w:p>
        </w:tc>
        <w:tc>
          <w:tcPr>
            <w:tcW w:w="1800" w:type="dxa"/>
            <w:tcBorders>
              <w:top w:val="nil"/>
              <w:left w:val="nil"/>
              <w:bottom w:val="single" w:sz="4" w:space="0" w:color="000000"/>
              <w:right w:val="single" w:sz="4" w:space="0" w:color="auto"/>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50%</w:t>
            </w:r>
          </w:p>
        </w:tc>
        <w:tc>
          <w:tcPr>
            <w:tcW w:w="2474" w:type="dxa"/>
            <w:tcBorders>
              <w:top w:val="nil"/>
              <w:left w:val="nil"/>
              <w:bottom w:val="single" w:sz="4" w:space="0" w:color="000000"/>
              <w:right w:val="single" w:sz="4" w:space="0" w:color="000000"/>
            </w:tcBorders>
            <w:shd w:val="clear" w:color="auto" w:fill="auto"/>
            <w:vAlign w:val="center"/>
          </w:tcPr>
          <w:p w:rsidR="007D0BED" w:rsidRPr="006B27E9" w:rsidRDefault="007D0BED" w:rsidP="006B63C3">
            <w:pPr>
              <w:autoSpaceDE w:val="0"/>
              <w:autoSpaceDN w:val="0"/>
              <w:adjustRightInd w:val="0"/>
              <w:jc w:val="center"/>
              <w:rPr>
                <w:rFonts w:ascii="宋体" w:hAnsi="宋体" w:cs="宋体" w:hint="eastAsia"/>
                <w:color w:val="000000"/>
                <w:kern w:val="0"/>
              </w:rPr>
            </w:pPr>
            <w:r w:rsidRPr="006B27E9">
              <w:rPr>
                <w:rFonts w:ascii="宋体" w:hAnsi="宋体" w:cs="宋体" w:hint="eastAsia"/>
                <w:color w:val="000000"/>
                <w:kern w:val="0"/>
              </w:rPr>
              <w:t>1000元/学年/人</w:t>
            </w:r>
          </w:p>
        </w:tc>
      </w:tr>
    </w:tbl>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 第六条 有以下情形之一者，取消其研究生新生学业奖学金参评资格：</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（一）在学校规定时间内未完成注册手续；</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（二）经查实在入学考试报名材料中隐瞒事实或有虚假内容；</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（三）经查实入学后有违反国家法律法规、校纪校规的行为；</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lastRenderedPageBreak/>
        <w:t>（四）无故拒绝缴纳学费或不能足额缴纳学费，且未办理相关手续； </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（五）因其他原因被取消入学资格。</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（六）已办理休学或退学手续的。</w:t>
      </w:r>
    </w:p>
    <w:p w:rsidR="007D0BED" w:rsidRDefault="007D0BED" w:rsidP="007D0BED">
      <w:pPr>
        <w:widowControl/>
        <w:jc w:val="center"/>
        <w:rPr>
          <w:rFonts w:ascii="宋体" w:hAnsi="宋体" w:cs="宋体" w:hint="eastAsia"/>
          <w:b/>
          <w:kern w:val="0"/>
          <w:sz w:val="28"/>
          <w:szCs w:val="28"/>
        </w:rPr>
      </w:pPr>
      <w:r>
        <w:rPr>
          <w:rFonts w:ascii="宋体" w:hAnsi="宋体" w:cs="宋体" w:hint="eastAsia"/>
          <w:b/>
          <w:kern w:val="0"/>
          <w:sz w:val="28"/>
          <w:szCs w:val="28"/>
          <w:lang/>
        </w:rPr>
        <w:t>第三章  申请条件与评审标准</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第七条 硕士研究生新生学业奖学金基本申请条件：</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（一）热爱社会主义祖国，拥护中国共产党的领导；</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（二）遵守中华人民共和国宪法和法律，遵守高等学校规章制度；</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（三）诚实守信，道德品质优良；</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（四）入学考试成绩优异；</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（五）本科阶段取得突出成绩，具有发展潜力。</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第八条 评审标准包括五项指标，即初试成绩、复试成绩、学术论文、竞赛获奖、社会活动。各项指标的具体比重见下表：</w:t>
      </w:r>
    </w:p>
    <w:tbl>
      <w:tblPr>
        <w:tblW w:w="0" w:type="auto"/>
        <w:jc w:val="center"/>
        <w:shd w:val="clear" w:color="auto" w:fill="CFE1F7"/>
        <w:tblLayout w:type="fixed"/>
        <w:tblLook w:val="0000"/>
      </w:tblPr>
      <w:tblGrid>
        <w:gridCol w:w="1368"/>
        <w:gridCol w:w="1440"/>
        <w:gridCol w:w="1440"/>
        <w:gridCol w:w="1440"/>
        <w:gridCol w:w="1440"/>
        <w:gridCol w:w="1485"/>
      </w:tblGrid>
      <w:tr w:rsidR="007D0BED" w:rsidTr="006B63C3">
        <w:trPr>
          <w:trHeight w:val="922"/>
          <w:jc w:val="center"/>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指标体系</w:t>
            </w:r>
          </w:p>
        </w:tc>
        <w:tc>
          <w:tcPr>
            <w:tcW w:w="1440" w:type="dxa"/>
            <w:tcBorders>
              <w:top w:val="single" w:sz="4" w:space="0" w:color="000000"/>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初试成绩（20%）</w:t>
            </w:r>
          </w:p>
        </w:tc>
        <w:tc>
          <w:tcPr>
            <w:tcW w:w="1440" w:type="dxa"/>
            <w:tcBorders>
              <w:top w:val="single" w:sz="4" w:space="0" w:color="000000"/>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复试成绩（65%）</w:t>
            </w:r>
          </w:p>
        </w:tc>
        <w:tc>
          <w:tcPr>
            <w:tcW w:w="1440" w:type="dxa"/>
            <w:tcBorders>
              <w:top w:val="single" w:sz="4" w:space="0" w:color="000000"/>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学术论文（5%）</w:t>
            </w:r>
          </w:p>
        </w:tc>
        <w:tc>
          <w:tcPr>
            <w:tcW w:w="1440" w:type="dxa"/>
            <w:tcBorders>
              <w:top w:val="single" w:sz="4" w:space="0" w:color="000000"/>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竞赛获奖（5%）</w:t>
            </w:r>
          </w:p>
        </w:tc>
        <w:tc>
          <w:tcPr>
            <w:tcW w:w="1485" w:type="dxa"/>
            <w:tcBorders>
              <w:top w:val="single" w:sz="4" w:space="0" w:color="000000"/>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社会活动（5%）</w:t>
            </w:r>
          </w:p>
        </w:tc>
      </w:tr>
      <w:tr w:rsidR="007D0BED" w:rsidTr="006B63C3">
        <w:trPr>
          <w:jc w:val="center"/>
        </w:trPr>
        <w:tc>
          <w:tcPr>
            <w:tcW w:w="1368" w:type="dxa"/>
            <w:tcBorders>
              <w:top w:val="nil"/>
              <w:left w:val="single" w:sz="4" w:space="0" w:color="000000"/>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100分</w:t>
            </w:r>
          </w:p>
        </w:tc>
        <w:tc>
          <w:tcPr>
            <w:tcW w:w="1440" w:type="dxa"/>
            <w:tcBorders>
              <w:top w:val="nil"/>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20分</w:t>
            </w:r>
          </w:p>
        </w:tc>
        <w:tc>
          <w:tcPr>
            <w:tcW w:w="1440" w:type="dxa"/>
            <w:tcBorders>
              <w:top w:val="nil"/>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65分</w:t>
            </w:r>
          </w:p>
        </w:tc>
        <w:tc>
          <w:tcPr>
            <w:tcW w:w="1440" w:type="dxa"/>
            <w:tcBorders>
              <w:top w:val="nil"/>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5分</w:t>
            </w:r>
          </w:p>
        </w:tc>
        <w:tc>
          <w:tcPr>
            <w:tcW w:w="1440" w:type="dxa"/>
            <w:tcBorders>
              <w:top w:val="nil"/>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5分</w:t>
            </w:r>
          </w:p>
        </w:tc>
        <w:tc>
          <w:tcPr>
            <w:tcW w:w="1485" w:type="dxa"/>
            <w:tcBorders>
              <w:top w:val="nil"/>
              <w:left w:val="nil"/>
              <w:bottom w:val="single" w:sz="4" w:space="0" w:color="000000"/>
              <w:right w:val="single" w:sz="4" w:space="0" w:color="000000"/>
            </w:tcBorders>
            <w:shd w:val="clear" w:color="auto" w:fill="auto"/>
          </w:tcPr>
          <w:p w:rsidR="007D0BED" w:rsidRDefault="007D0BED" w:rsidP="006B63C3">
            <w:pPr>
              <w:autoSpaceDE w:val="0"/>
              <w:autoSpaceDN w:val="0"/>
              <w:adjustRightInd w:val="0"/>
              <w:jc w:val="center"/>
              <w:rPr>
                <w:rFonts w:ascii="宋体" w:hAnsi="宋体" w:cs="宋体" w:hint="eastAsia"/>
                <w:color w:val="000000"/>
                <w:kern w:val="0"/>
                <w:szCs w:val="22"/>
              </w:rPr>
            </w:pPr>
            <w:r>
              <w:rPr>
                <w:rFonts w:ascii="宋体" w:hAnsi="宋体" w:cs="宋体" w:hint="eastAsia"/>
                <w:color w:val="000000"/>
                <w:kern w:val="0"/>
                <w:szCs w:val="22"/>
                <w:lang/>
              </w:rPr>
              <w:t>5分</w:t>
            </w:r>
          </w:p>
        </w:tc>
      </w:tr>
    </w:tbl>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上述六项指标中的后三项指标按照下述规则进行计算：</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1、学术论文，分为两档，本专科阶段以独立作者或第一作者身份在《北大中文核心期刊目录》上的期刊上发表一篇或多篇论文，即在该项指标下授予5分；以独立作者或第一作者身份在其他期刊上发表一篇或多篇论文，则一律授予2.5分，不累加。另以第一发明人身份获得国家发明专利授权者，视同以第一作者身份在当年《北大中文核心期刊》上发表一篇或多篇论文，可在该项指标下授予5分，不累加。</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2、竞赛获奖，分为两档，本专科阶段在各类全国大学生竞赛中获奖的新生，在该项指标下授予5分，不累加；本专科阶段在各类省（直辖市、自治区）部级大学生竞赛中获三等奖及其以上奖项的新生，在该项指标下授予2.5分，不累加。如果是团体奖，除主要贡献人计满分外，其他人减半计分。</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3、社会活动，指研究生入校以来参与的校内外社会实践活动。具体分为两类，一类是学术活动，如学术讲座和学科竞赛等，在该项指标下授予的总分不超过2.5分；一类是公益工作、志愿服务和社团工作，在该项指标下授予的总分不</w:t>
      </w:r>
      <w:r>
        <w:rPr>
          <w:rFonts w:ascii="宋体" w:hAnsi="宋体" w:cs="宋体" w:hint="eastAsia"/>
          <w:color w:val="000000"/>
          <w:kern w:val="0"/>
          <w:szCs w:val="22"/>
          <w:lang/>
        </w:rPr>
        <w:lastRenderedPageBreak/>
        <w:t>超过2.5分。</w:t>
      </w:r>
    </w:p>
    <w:p w:rsidR="007D0BED" w:rsidRDefault="007D0BED" w:rsidP="007D0BED">
      <w:pPr>
        <w:widowControl/>
        <w:jc w:val="center"/>
        <w:rPr>
          <w:rFonts w:ascii="宋体" w:hAnsi="宋体" w:cs="宋体" w:hint="eastAsia"/>
          <w:b/>
          <w:kern w:val="0"/>
          <w:sz w:val="28"/>
          <w:szCs w:val="28"/>
        </w:rPr>
      </w:pPr>
      <w:r>
        <w:rPr>
          <w:rFonts w:ascii="宋体" w:hAnsi="宋体" w:cs="宋体" w:hint="eastAsia"/>
          <w:b/>
          <w:kern w:val="0"/>
          <w:sz w:val="28"/>
          <w:szCs w:val="28"/>
          <w:lang/>
        </w:rPr>
        <w:t>第四章  评定程序</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第九条 硕士研究生新生学业奖学金的评定于每年11月进行。研究生处负责成立硕士研究生新生学业奖学金评定工作小组。</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第十条 研究生处结合新生学业奖学金的总比例和额度，根据硕士研究生的入学前的学业情况、入学成绩和入学后的综合表现，讨论并制定评审标准，确定入选名单。</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第十一条 获奖名单应在全校范围内公示，公示期为5个工作日。对获奖名单有异议者，可在公示期内向学校研究生处提出申诉。</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第十二条 对已获奖的研究生，若查实其存在弄虚作假等严重问题，撤销奖励并予以相应处分。</w:t>
      </w:r>
    </w:p>
    <w:p w:rsidR="007D0BED" w:rsidRDefault="007D0BED" w:rsidP="007D0BED">
      <w:pPr>
        <w:widowControl/>
        <w:jc w:val="center"/>
        <w:rPr>
          <w:rFonts w:ascii="宋体" w:hAnsi="宋体" w:cs="宋体" w:hint="eastAsia"/>
          <w:b/>
          <w:kern w:val="0"/>
          <w:sz w:val="28"/>
          <w:szCs w:val="28"/>
        </w:rPr>
      </w:pPr>
      <w:r>
        <w:rPr>
          <w:rFonts w:ascii="宋体" w:hAnsi="宋体" w:cs="宋体" w:hint="eastAsia"/>
          <w:b/>
          <w:kern w:val="0"/>
          <w:sz w:val="28"/>
          <w:szCs w:val="28"/>
          <w:lang/>
        </w:rPr>
        <w:t>第五章  附 则</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第十三条 本办法没有规定的，参照适用《上海政法学院硕士研究生国家奖学金、学业奖学金实施细则》。</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第十四条 本办法由研究生处负责解释。</w:t>
      </w:r>
    </w:p>
    <w:p w:rsidR="007D0BED" w:rsidRDefault="007D0BED" w:rsidP="007D0BED">
      <w:pPr>
        <w:autoSpaceDE w:val="0"/>
        <w:autoSpaceDN w:val="0"/>
        <w:adjustRightInd w:val="0"/>
        <w:ind w:firstLineChars="200" w:firstLine="480"/>
        <w:rPr>
          <w:rFonts w:ascii="宋体" w:hAnsi="宋体" w:cs="宋体" w:hint="eastAsia"/>
          <w:color w:val="000000"/>
          <w:kern w:val="0"/>
          <w:szCs w:val="22"/>
        </w:rPr>
      </w:pPr>
      <w:r>
        <w:rPr>
          <w:rFonts w:ascii="宋体" w:hAnsi="宋体" w:cs="宋体" w:hint="eastAsia"/>
          <w:color w:val="000000"/>
          <w:kern w:val="0"/>
          <w:szCs w:val="22"/>
          <w:lang/>
        </w:rPr>
        <w:t>第十五条 本办法自2015级硕士研究生起施行。</w:t>
      </w:r>
    </w:p>
    <w:p w:rsidR="00227871" w:rsidRPr="007D0BED" w:rsidRDefault="00227871"/>
    <w:sectPr w:rsidR="00227871" w:rsidRPr="007D0B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871" w:rsidRDefault="00227871" w:rsidP="007D0BED">
      <w:pPr>
        <w:spacing w:line="240" w:lineRule="auto"/>
      </w:pPr>
      <w:r>
        <w:separator/>
      </w:r>
    </w:p>
  </w:endnote>
  <w:endnote w:type="continuationSeparator" w:id="1">
    <w:p w:rsidR="00227871" w:rsidRDefault="00227871" w:rsidP="007D0B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871" w:rsidRDefault="00227871" w:rsidP="007D0BED">
      <w:pPr>
        <w:spacing w:line="240" w:lineRule="auto"/>
      </w:pPr>
      <w:r>
        <w:separator/>
      </w:r>
    </w:p>
  </w:footnote>
  <w:footnote w:type="continuationSeparator" w:id="1">
    <w:p w:rsidR="00227871" w:rsidRDefault="00227871" w:rsidP="007D0BED">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0BED"/>
    <w:rsid w:val="00227871"/>
    <w:rsid w:val="007D0B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BED"/>
    <w:pPr>
      <w:widowControl w:val="0"/>
      <w:spacing w:line="360" w:lineRule="auto"/>
      <w:jc w:val="both"/>
    </w:pPr>
    <w:rPr>
      <w:rFonts w:ascii="Times New Roman" w:eastAsia="宋体"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0BED"/>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D0BED"/>
    <w:rPr>
      <w:sz w:val="18"/>
      <w:szCs w:val="18"/>
    </w:rPr>
  </w:style>
  <w:style w:type="paragraph" w:styleId="a4">
    <w:name w:val="footer"/>
    <w:basedOn w:val="a"/>
    <w:link w:val="Char0"/>
    <w:uiPriority w:val="99"/>
    <w:semiHidden/>
    <w:unhideWhenUsed/>
    <w:rsid w:val="007D0BED"/>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D0BED"/>
    <w:rPr>
      <w:sz w:val="18"/>
      <w:szCs w:val="18"/>
    </w:rPr>
  </w:style>
  <w:style w:type="character" w:customStyle="1" w:styleId="Char1">
    <w:name w:val="标题 Char"/>
    <w:link w:val="a5"/>
    <w:uiPriority w:val="99"/>
    <w:rsid w:val="007D0BED"/>
    <w:rPr>
      <w:rFonts w:ascii="Calibri Light" w:hAnsi="Calibri Light"/>
      <w:b/>
      <w:bCs/>
      <w:sz w:val="36"/>
      <w:szCs w:val="32"/>
    </w:rPr>
  </w:style>
  <w:style w:type="paragraph" w:styleId="a5">
    <w:name w:val="Title"/>
    <w:basedOn w:val="a"/>
    <w:next w:val="a"/>
    <w:link w:val="Char1"/>
    <w:uiPriority w:val="99"/>
    <w:qFormat/>
    <w:rsid w:val="007D0BED"/>
    <w:pPr>
      <w:spacing w:after="140"/>
      <w:jc w:val="center"/>
      <w:outlineLvl w:val="0"/>
    </w:pPr>
    <w:rPr>
      <w:rFonts w:ascii="Calibri Light" w:eastAsiaTheme="minorEastAsia" w:hAnsi="Calibri Light" w:cstheme="minorBidi"/>
      <w:b/>
      <w:bCs/>
      <w:sz w:val="36"/>
      <w:szCs w:val="32"/>
    </w:rPr>
  </w:style>
  <w:style w:type="character" w:customStyle="1" w:styleId="Char10">
    <w:name w:val="标题 Char1"/>
    <w:basedOn w:val="a0"/>
    <w:link w:val="a5"/>
    <w:uiPriority w:val="10"/>
    <w:rsid w:val="007D0BED"/>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1534</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龙洁</dc:creator>
  <cp:keywords/>
  <dc:description/>
  <cp:lastModifiedBy>龙洁</cp:lastModifiedBy>
  <cp:revision>2</cp:revision>
  <dcterms:created xsi:type="dcterms:W3CDTF">2016-10-13T07:21:00Z</dcterms:created>
  <dcterms:modified xsi:type="dcterms:W3CDTF">2016-10-13T07:22:00Z</dcterms:modified>
</cp:coreProperties>
</file>