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附件8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"/>
          <w:kern w:val="0"/>
          <w:sz w:val="32"/>
          <w:szCs w:val="32"/>
        </w:rPr>
        <w:t>-201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仿宋"/>
          <w:kern w:val="0"/>
          <w:sz w:val="32"/>
          <w:szCs w:val="32"/>
        </w:rPr>
        <w:t>学年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五四</w:t>
      </w:r>
      <w:r>
        <w:rPr>
          <w:rFonts w:hint="eastAsia" w:ascii="黑体" w:hAnsi="黑体" w:eastAsia="黑体" w:cs="仿宋"/>
          <w:kern w:val="0"/>
          <w:sz w:val="32"/>
          <w:szCs w:val="32"/>
        </w:rPr>
        <w:t>青年标兵评选细则</w:t>
      </w:r>
      <w:bookmarkEnd w:id="0"/>
    </w:p>
    <w:p>
      <w:pPr>
        <w:widowControl/>
        <w:spacing w:line="560" w:lineRule="exact"/>
        <w:ind w:firstLine="480"/>
        <w:jc w:val="left"/>
        <w:textAlignment w:val="baseline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一、评选具体标准</w:t>
      </w:r>
    </w:p>
    <w:p>
      <w:pPr>
        <w:widowControl/>
        <w:spacing w:line="560" w:lineRule="exact"/>
        <w:ind w:left="480"/>
        <w:jc w:val="left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（一）综合类</w:t>
      </w:r>
    </w:p>
    <w:p>
      <w:pPr>
        <w:widowControl/>
        <w:spacing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 认真学习贯彻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党的十八届三中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四中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五中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六中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全会精神以及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十八大以来习近平同志系列讲话精神，认真学习贯彻社会主义核心价值观。在学习、工作中能起到模范带头作用在学生中享有较高的威信和认可度，至少获得过一次团内表彰。</w:t>
      </w:r>
    </w:p>
    <w:p>
      <w:pPr>
        <w:widowControl/>
        <w:spacing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2.综合测评成绩在年级排名前50%； </w:t>
      </w:r>
    </w:p>
    <w:p>
      <w:pPr>
        <w:widowControl/>
        <w:spacing w:line="560" w:lineRule="exact"/>
        <w:ind w:firstLine="645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3.具有较强的创新能力； </w:t>
      </w:r>
    </w:p>
    <w:p>
      <w:pPr>
        <w:widowControl/>
        <w:spacing w:line="560" w:lineRule="exact"/>
        <w:ind w:firstLine="645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4.积极组织、参加各种社团、学生活动；</w:t>
      </w:r>
    </w:p>
    <w:p>
      <w:pPr>
        <w:widowControl/>
        <w:spacing w:line="560" w:lineRule="exact"/>
        <w:ind w:firstLine="645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5.积极参加各类寒、暑期社会实践等社会实践活动和志愿者活动；</w:t>
      </w:r>
    </w:p>
    <w:p>
      <w:pPr>
        <w:widowControl/>
        <w:spacing w:line="560" w:lineRule="exact"/>
        <w:ind w:firstLine="645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6.积极参与校、院团委、学生会工作。</w:t>
      </w:r>
    </w:p>
    <w:p>
      <w:pPr>
        <w:widowControl/>
        <w:spacing w:line="560" w:lineRule="exact"/>
        <w:ind w:left="480"/>
        <w:jc w:val="both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（二）文体类</w:t>
      </w:r>
    </w:p>
    <w:p>
      <w:pPr>
        <w:widowControl/>
        <w:spacing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1.热爱文艺、体育活动，有一定擅长的文体类特长；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2.体育成绩良好及以上；</w:t>
      </w:r>
    </w:p>
    <w:p>
      <w:pPr>
        <w:widowControl/>
        <w:spacing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积极参与、组织各类文艺、体育活动，在校内外重大文体活动中取得突出成绩，为学校赢得声誉，带动身边同学积极参与文体活动，为推动校园文艺体育活动做出突出贡献，至少荣获一等（含）以上文化活动优秀奖学金或特等（含）以上体育奖学金的个人。</w:t>
      </w:r>
    </w:p>
    <w:p>
      <w:pPr>
        <w:widowControl/>
        <w:spacing w:line="560" w:lineRule="exact"/>
        <w:ind w:left="480"/>
        <w:jc w:val="both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（三）学术类</w:t>
      </w:r>
    </w:p>
    <w:p>
      <w:pPr>
        <w:widowControl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 认真学习贯彻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党的十八届三中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四中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五中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六中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全会精神以及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十八大以来习近平同志系列讲话精神，认真学习贯彻社会主义核心价值观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2.综合测评成绩应在年级前20%，至少曾获得过一次一等奖奖学金，且所有课程无挂科现象；</w:t>
      </w:r>
    </w:p>
    <w:p>
      <w:pPr>
        <w:widowControl/>
        <w:spacing w:line="560" w:lineRule="exact"/>
        <w:ind w:left="319" w:leftChars="152" w:firstLine="320" w:firstLineChars="1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 积极参加科技创新活动并取得突出成绩；</w:t>
      </w:r>
    </w:p>
    <w:p>
      <w:pPr>
        <w:widowControl/>
        <w:spacing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 积极撰写、发表各类论文，获得过各级奖项。</w:t>
      </w:r>
    </w:p>
    <w:p>
      <w:pPr>
        <w:widowControl/>
        <w:spacing w:line="560" w:lineRule="exact"/>
        <w:ind w:firstLine="480"/>
        <w:jc w:val="both"/>
        <w:textAlignment w:val="baseline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二、评选过程</w:t>
      </w:r>
    </w:p>
    <w:p>
      <w:pPr>
        <w:widowControl/>
        <w:spacing w:line="560" w:lineRule="exact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1.本次青年标兵评选将分为综合类、文体类、学术类，各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分团委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通过民主评议确定推荐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至少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一名在该领域突出的候选人，上报推荐人选至校团委。</w:t>
      </w:r>
    </w:p>
    <w:p>
      <w:pPr>
        <w:widowControl/>
        <w:spacing w:line="560" w:lineRule="exact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五四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青年标兵推荐人必须从优秀团员与优秀团干中产生。</w:t>
      </w:r>
    </w:p>
    <w:p>
      <w:pPr>
        <w:widowControl/>
        <w:spacing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2.根据各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分团委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提交的推荐人名单，校团委组织进行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青年标兵评选答辩。根据答辩得分情况最终评选出“上海政法学院201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青年标兵”。</w:t>
      </w:r>
    </w:p>
    <w:p>
      <w:pPr>
        <w:widowControl/>
        <w:spacing w:line="560" w:lineRule="exact"/>
        <w:ind w:firstLine="480"/>
        <w:jc w:val="both"/>
        <w:textAlignment w:val="baseline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三、评选具体要求</w:t>
      </w: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此次评选由答辩和网上投票相结合，答辩占70%，网上投票占30%。</w:t>
      </w:r>
    </w:p>
    <w:p>
      <w:pPr>
        <w:widowControl/>
        <w:spacing w:line="560" w:lineRule="exact"/>
        <w:ind w:firstLine="320" w:firstLineChars="100"/>
        <w:jc w:val="both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（一） 网上投票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届时校团委组织部将候选人名单推送至微信公众号上，由同学自主投票。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投票最终成绩按照百分比进行折算。</w:t>
      </w:r>
    </w:p>
    <w:p>
      <w:pPr>
        <w:widowControl/>
        <w:spacing w:line="560" w:lineRule="exact"/>
        <w:ind w:firstLine="320" w:firstLineChars="100"/>
        <w:jc w:val="both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ascii="楷体" w:hAnsi="楷体" w:eastAsia="楷体" w:cs="仿宋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二</w:t>
      </w:r>
      <w:r>
        <w:rPr>
          <w:rFonts w:ascii="楷体" w:hAnsi="楷体" w:eastAsia="楷体" w:cs="仿宋"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答辩具体要求</w:t>
      </w: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1.答辩得分由大众评分和教师评分构成。</w:t>
      </w: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2.学生和教师根据答辩者的自述情况、问答情况进行打分。其中，大众评分占40%，教师评分占60%。</w:t>
      </w: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3.答辩过程中，每位答辩者自述5分钟。自述内容应紧密围绕参评类别展开，可脱稿。答辩者可制作一份PPT辅助进行答辩。</w:t>
      </w: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4.答辩者完成自述后需进行2分钟的问答环节，针对评审的提问进行回答，问答过程中应注意言辞、手势技巧等。</w:t>
      </w: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5.各类青年标兵答辩时间暂定为4月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日13:00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jc w:val="both"/>
        <w:rPr>
          <w:rFonts w:hint="eastAsia" w:ascii="仿宋_GB2312" w:hAnsi="仿宋" w:eastAsia="仿宋_GB2312"/>
          <w:b/>
          <w:bCs/>
          <w:sz w:val="28"/>
          <w:szCs w:val="28"/>
        </w:rPr>
      </w:pPr>
    </w:p>
    <w:p>
      <w:pPr>
        <w:jc w:val="both"/>
        <w:rPr>
          <w:rFonts w:hint="eastAsia" w:ascii="仿宋_GB2312" w:hAnsi="仿宋" w:eastAsia="仿宋_GB2312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511"/>
    <w:multiLevelType w:val="multilevel"/>
    <w:tmpl w:val="06017511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0071E"/>
    <w:rsid w:val="067007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2017-03-22T09:42:00Z</dcterms:created>
  <dc:creator>asusjskj</dc:creator>
  <cp:lastModifiedBy>asusjskj</cp:lastModifiedBy>
  <dcterms:modified xsi:type="dcterms:W3CDTF">2017-03-22T09:43:32Z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