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A1748" w:rsidRPr="005A1748" w:rsidRDefault="007B3BE9" w:rsidP="005A174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2015</w:t>
      </w:r>
      <w:r>
        <w:rPr>
          <w:rFonts w:hint="eastAsia"/>
          <w:b/>
          <w:sz w:val="36"/>
          <w:szCs w:val="36"/>
        </w:rPr>
        <w:t>年上半年</w:t>
      </w:r>
      <w:r w:rsidR="005A1748" w:rsidRPr="005A1748">
        <w:rPr>
          <w:rFonts w:hint="eastAsia"/>
          <w:b/>
          <w:sz w:val="36"/>
          <w:szCs w:val="36"/>
        </w:rPr>
        <w:t>访问学者</w:t>
      </w:r>
      <w:r w:rsidR="003C7043">
        <w:rPr>
          <w:rFonts w:hint="eastAsia"/>
          <w:b/>
          <w:sz w:val="36"/>
          <w:szCs w:val="36"/>
        </w:rPr>
        <w:t>招收</w:t>
      </w:r>
      <w:r w:rsidR="005A1748" w:rsidRPr="005A1748">
        <w:rPr>
          <w:rFonts w:hint="eastAsia"/>
          <w:b/>
          <w:sz w:val="36"/>
          <w:szCs w:val="36"/>
        </w:rPr>
        <w:t>计划</w:t>
      </w:r>
    </w:p>
    <w:p w:rsidR="005A1748" w:rsidRDefault="005A1748" w:rsidP="005A1748"/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为了进一步</w:t>
      </w:r>
      <w:r w:rsidR="0093235B">
        <w:rPr>
          <w:rFonts w:asciiTheme="minorEastAsia" w:hAnsiTheme="minorEastAsia" w:hint="eastAsia"/>
          <w:sz w:val="28"/>
          <w:szCs w:val="28"/>
        </w:rPr>
        <w:t>推动上海高校</w:t>
      </w:r>
      <w:proofErr w:type="gramStart"/>
      <w:r w:rsidR="0093235B">
        <w:rPr>
          <w:rFonts w:asciiTheme="minorEastAsia" w:hAnsiTheme="minorEastAsia" w:hint="eastAsia"/>
          <w:sz w:val="28"/>
          <w:szCs w:val="28"/>
        </w:rPr>
        <w:t>智库</w:t>
      </w:r>
      <w:r w:rsidRPr="005A1748">
        <w:rPr>
          <w:rFonts w:asciiTheme="minorEastAsia" w:hAnsiTheme="minorEastAsia" w:hint="eastAsia"/>
          <w:sz w:val="28"/>
          <w:szCs w:val="28"/>
        </w:rPr>
        <w:t>间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的</w:t>
      </w:r>
      <w:r w:rsidR="0093235B">
        <w:rPr>
          <w:rFonts w:asciiTheme="minorEastAsia" w:hAnsiTheme="minorEastAsia" w:hint="eastAsia"/>
          <w:sz w:val="28"/>
          <w:szCs w:val="28"/>
        </w:rPr>
        <w:t>相互了解</w:t>
      </w:r>
      <w:r w:rsidRPr="005A1748">
        <w:rPr>
          <w:rFonts w:asciiTheme="minorEastAsia" w:hAnsiTheme="minorEastAsia" w:hint="eastAsia"/>
          <w:sz w:val="28"/>
          <w:szCs w:val="28"/>
        </w:rPr>
        <w:t>，增强</w:t>
      </w:r>
      <w:proofErr w:type="gramStart"/>
      <w:r w:rsidRPr="005A1748">
        <w:rPr>
          <w:rFonts w:asciiTheme="minorEastAsia" w:hAnsiTheme="minorEastAsia" w:hint="eastAsia"/>
          <w:sz w:val="28"/>
          <w:szCs w:val="28"/>
        </w:rPr>
        <w:t>对智库的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协调管理，上海市高校</w:t>
      </w:r>
      <w:proofErr w:type="gramStart"/>
      <w:r w:rsidRPr="005A1748">
        <w:rPr>
          <w:rFonts w:asciiTheme="minorEastAsia" w:hAnsiTheme="minorEastAsia" w:hint="eastAsia"/>
          <w:sz w:val="28"/>
          <w:szCs w:val="28"/>
        </w:rPr>
        <w:t>智库研究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和管理中心特别推出</w:t>
      </w:r>
      <w:r w:rsidR="003C7043">
        <w:rPr>
          <w:rFonts w:asciiTheme="minorEastAsia" w:hAnsiTheme="minorEastAsia" w:hint="eastAsia"/>
          <w:sz w:val="28"/>
          <w:szCs w:val="28"/>
        </w:rPr>
        <w:t>上海</w:t>
      </w:r>
      <w:proofErr w:type="gramStart"/>
      <w:r w:rsidR="003C7043">
        <w:rPr>
          <w:rFonts w:asciiTheme="minorEastAsia" w:hAnsiTheme="minorEastAsia" w:hint="eastAsia"/>
          <w:sz w:val="28"/>
          <w:szCs w:val="28"/>
        </w:rPr>
        <w:t>高校智库</w:t>
      </w:r>
      <w:r w:rsidRPr="005A1748">
        <w:rPr>
          <w:rFonts w:asciiTheme="minorEastAsia" w:hAnsiTheme="minorEastAsia" w:hint="eastAsia"/>
          <w:sz w:val="28"/>
          <w:szCs w:val="28"/>
        </w:rPr>
        <w:t>访问学者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工作计划，邀请有志于</w:t>
      </w:r>
      <w:proofErr w:type="gramStart"/>
      <w:r w:rsidRPr="005A1748">
        <w:rPr>
          <w:rFonts w:asciiTheme="minorEastAsia" w:hAnsiTheme="minorEastAsia" w:hint="eastAsia"/>
          <w:sz w:val="28"/>
          <w:szCs w:val="28"/>
        </w:rPr>
        <w:t>高校智库建设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和交流的青年教师、博士后、科研助理和行政管理人员参与。2015年1月首批</w:t>
      </w:r>
      <w:r w:rsidR="004E536B">
        <w:rPr>
          <w:rFonts w:asciiTheme="minorEastAsia" w:hAnsiTheme="minorEastAsia" w:hint="eastAsia"/>
          <w:sz w:val="28"/>
          <w:szCs w:val="28"/>
        </w:rPr>
        <w:t>5位</w:t>
      </w:r>
      <w:r w:rsidRPr="005A1748">
        <w:rPr>
          <w:rFonts w:asciiTheme="minorEastAsia" w:hAnsiTheme="minorEastAsia" w:hint="eastAsia"/>
          <w:sz w:val="28"/>
          <w:szCs w:val="28"/>
        </w:rPr>
        <w:t>访问学者顺利完成访学，</w:t>
      </w:r>
      <w:proofErr w:type="gramStart"/>
      <w:r w:rsidRPr="005A1748">
        <w:rPr>
          <w:rFonts w:asciiTheme="minorEastAsia" w:hAnsiTheme="minorEastAsia" w:hint="eastAsia"/>
          <w:sz w:val="28"/>
          <w:szCs w:val="28"/>
        </w:rPr>
        <w:t>现启动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>新一轮的招收计划，具体情况如下：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>一、申请条件：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1、访</w:t>
      </w:r>
      <w:r>
        <w:rPr>
          <w:rFonts w:asciiTheme="minorEastAsia" w:hAnsiTheme="minorEastAsia" w:hint="eastAsia"/>
          <w:sz w:val="28"/>
          <w:szCs w:val="28"/>
        </w:rPr>
        <w:t>问学者应为上海各高校</w:t>
      </w:r>
      <w:r w:rsidR="007B3BE9">
        <w:rPr>
          <w:rFonts w:asciiTheme="minorEastAsia" w:hAnsiTheme="minorEastAsia" w:hint="eastAsia"/>
          <w:sz w:val="28"/>
          <w:szCs w:val="28"/>
        </w:rPr>
        <w:t>研究机构</w:t>
      </w:r>
      <w:r>
        <w:rPr>
          <w:rFonts w:asciiTheme="minorEastAsia" w:hAnsiTheme="minorEastAsia" w:hint="eastAsia"/>
          <w:sz w:val="28"/>
          <w:szCs w:val="28"/>
        </w:rPr>
        <w:t>的教师、</w:t>
      </w:r>
      <w:r w:rsidR="003C7043">
        <w:rPr>
          <w:rFonts w:asciiTheme="minorEastAsia" w:hAnsiTheme="minorEastAsia" w:hint="eastAsia"/>
          <w:sz w:val="28"/>
          <w:szCs w:val="28"/>
        </w:rPr>
        <w:t>研究员、</w:t>
      </w:r>
      <w:r>
        <w:rPr>
          <w:rFonts w:asciiTheme="minorEastAsia" w:hAnsiTheme="minorEastAsia" w:hint="eastAsia"/>
          <w:sz w:val="28"/>
          <w:szCs w:val="28"/>
        </w:rPr>
        <w:t>博士后、科研助理和行政人员；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 xml:space="preserve"> 2、访问学者应</w:t>
      </w:r>
      <w:r w:rsidR="0093235B">
        <w:rPr>
          <w:rFonts w:asciiTheme="minorEastAsia" w:hAnsiTheme="minorEastAsia" w:hint="eastAsia"/>
          <w:sz w:val="28"/>
          <w:szCs w:val="28"/>
        </w:rPr>
        <w:t>致力于</w:t>
      </w:r>
      <w:r w:rsidRPr="005A1748">
        <w:rPr>
          <w:rFonts w:asciiTheme="minorEastAsia" w:hAnsiTheme="minorEastAsia" w:hint="eastAsia"/>
          <w:sz w:val="28"/>
          <w:szCs w:val="28"/>
        </w:rPr>
        <w:t>研究国家发展、区域进步相关</w:t>
      </w:r>
      <w:r>
        <w:rPr>
          <w:rFonts w:asciiTheme="minorEastAsia" w:hAnsiTheme="minorEastAsia" w:hint="eastAsia"/>
          <w:sz w:val="28"/>
          <w:szCs w:val="28"/>
        </w:rPr>
        <w:t>公共政策，</w:t>
      </w:r>
      <w:proofErr w:type="gramStart"/>
      <w:r>
        <w:rPr>
          <w:rFonts w:asciiTheme="minorEastAsia" w:hAnsiTheme="minorEastAsia" w:hint="eastAsia"/>
          <w:sz w:val="28"/>
          <w:szCs w:val="28"/>
        </w:rPr>
        <w:t>对智库的</w:t>
      </w:r>
      <w:proofErr w:type="gramEnd"/>
      <w:r>
        <w:rPr>
          <w:rFonts w:asciiTheme="minorEastAsia" w:hAnsiTheme="minorEastAsia" w:hint="eastAsia"/>
          <w:sz w:val="28"/>
          <w:szCs w:val="28"/>
        </w:rPr>
        <w:t>发展、建设有深入的了解，对</w:t>
      </w:r>
      <w:proofErr w:type="gramStart"/>
      <w:r>
        <w:rPr>
          <w:rFonts w:asciiTheme="minorEastAsia" w:hAnsiTheme="minorEastAsia" w:hint="eastAsia"/>
          <w:sz w:val="28"/>
          <w:szCs w:val="28"/>
        </w:rPr>
        <w:t>智库相关</w:t>
      </w:r>
      <w:proofErr w:type="gramEnd"/>
      <w:r>
        <w:rPr>
          <w:rFonts w:asciiTheme="minorEastAsia" w:hAnsiTheme="minorEastAsia" w:hint="eastAsia"/>
          <w:sz w:val="28"/>
          <w:szCs w:val="28"/>
        </w:rPr>
        <w:t>工作有热情。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 xml:space="preserve">二、访问研究名额与时间 </w:t>
      </w:r>
    </w:p>
    <w:p w:rsidR="005A1748" w:rsidRPr="005A1748" w:rsidRDefault="0027394F" w:rsidP="00EC34D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中心2015上半年计划招收3个批次的访问学者，</w:t>
      </w:r>
      <w:r w:rsidR="007E5DC3">
        <w:rPr>
          <w:rFonts w:asciiTheme="minorEastAsia" w:hAnsiTheme="minorEastAsia" w:hint="eastAsia"/>
          <w:sz w:val="28"/>
          <w:szCs w:val="28"/>
        </w:rPr>
        <w:t>每批访问</w:t>
      </w:r>
      <w:r w:rsidR="00EC34D3">
        <w:rPr>
          <w:rFonts w:asciiTheme="minorEastAsia" w:hAnsiTheme="minorEastAsia" w:hint="eastAsia"/>
          <w:sz w:val="28"/>
          <w:szCs w:val="28"/>
        </w:rPr>
        <w:t>期限</w:t>
      </w:r>
      <w:r w:rsidR="007E5DC3">
        <w:rPr>
          <w:rFonts w:asciiTheme="minorEastAsia" w:hAnsiTheme="minorEastAsia" w:hint="eastAsia"/>
          <w:sz w:val="28"/>
          <w:szCs w:val="28"/>
        </w:rPr>
        <w:t>为</w:t>
      </w:r>
      <w:r w:rsidR="00EC34D3">
        <w:rPr>
          <w:rFonts w:asciiTheme="minorEastAsia" w:hAnsiTheme="minorEastAsia" w:hint="eastAsia"/>
          <w:sz w:val="28"/>
          <w:szCs w:val="28"/>
        </w:rPr>
        <w:t>1</w:t>
      </w:r>
      <w:r w:rsidR="007E5DC3">
        <w:rPr>
          <w:rFonts w:asciiTheme="minorEastAsia" w:hAnsiTheme="minorEastAsia" w:hint="eastAsia"/>
          <w:sz w:val="28"/>
          <w:szCs w:val="28"/>
        </w:rPr>
        <w:t>个月</w:t>
      </w:r>
      <w:r w:rsidR="00EC34D3">
        <w:rPr>
          <w:rFonts w:asciiTheme="minorEastAsia" w:hAnsiTheme="minorEastAsia" w:hint="eastAsia"/>
          <w:sz w:val="28"/>
          <w:szCs w:val="28"/>
        </w:rPr>
        <w:t>。申请者可根据个人情况选择本次申请的批次：第二批（4月）、第三批（5月）、第四批（6月）。</w:t>
      </w:r>
      <w:r w:rsidR="005A1748" w:rsidRPr="005A1748">
        <w:rPr>
          <w:rFonts w:asciiTheme="minorEastAsia" w:hAnsiTheme="minorEastAsia" w:hint="eastAsia"/>
          <w:sz w:val="28"/>
          <w:szCs w:val="28"/>
        </w:rPr>
        <w:t>每一批次</w:t>
      </w:r>
      <w:r>
        <w:rPr>
          <w:rFonts w:asciiTheme="minorEastAsia" w:hAnsiTheme="minorEastAsia" w:hint="eastAsia"/>
          <w:sz w:val="28"/>
          <w:szCs w:val="28"/>
        </w:rPr>
        <w:t>计划</w:t>
      </w:r>
      <w:r w:rsidR="005A1748" w:rsidRPr="005A1748">
        <w:rPr>
          <w:rFonts w:asciiTheme="minorEastAsia" w:hAnsiTheme="minorEastAsia" w:hint="eastAsia"/>
          <w:sz w:val="28"/>
          <w:szCs w:val="28"/>
        </w:rPr>
        <w:t>招收</w:t>
      </w:r>
      <w:r w:rsidR="00520519">
        <w:rPr>
          <w:rFonts w:asciiTheme="minorEastAsia" w:hAnsiTheme="minorEastAsia" w:hint="eastAsia"/>
          <w:sz w:val="28"/>
          <w:szCs w:val="28"/>
        </w:rPr>
        <w:t>人数为4-5人</w:t>
      </w:r>
      <w:r w:rsidR="005A1748" w:rsidRPr="005A1748">
        <w:rPr>
          <w:rFonts w:asciiTheme="minorEastAsia" w:hAnsiTheme="minorEastAsia" w:hint="eastAsia"/>
          <w:sz w:val="28"/>
          <w:szCs w:val="28"/>
        </w:rPr>
        <w:t>。</w:t>
      </w:r>
      <w:r w:rsidR="007B3BE9">
        <w:rPr>
          <w:rFonts w:asciiTheme="minorEastAsia" w:hAnsiTheme="minorEastAsia" w:hint="eastAsia"/>
          <w:sz w:val="28"/>
          <w:szCs w:val="28"/>
        </w:rPr>
        <w:t>访问学者每周</w:t>
      </w:r>
      <w:r>
        <w:rPr>
          <w:rFonts w:asciiTheme="minorEastAsia" w:hAnsiTheme="minorEastAsia" w:hint="eastAsia"/>
          <w:sz w:val="28"/>
          <w:szCs w:val="28"/>
        </w:rPr>
        <w:t>应有</w:t>
      </w:r>
      <w:r w:rsidR="007B3BE9">
        <w:rPr>
          <w:rFonts w:asciiTheme="minorEastAsia" w:hAnsiTheme="minorEastAsia" w:hint="eastAsia"/>
          <w:sz w:val="28"/>
          <w:szCs w:val="28"/>
        </w:rPr>
        <w:t>至少</w:t>
      </w:r>
      <w:r w:rsidR="00520519" w:rsidRPr="00520519">
        <w:rPr>
          <w:rFonts w:asciiTheme="minorEastAsia" w:hAnsiTheme="minorEastAsia" w:hint="eastAsia"/>
          <w:sz w:val="28"/>
          <w:szCs w:val="28"/>
        </w:rPr>
        <w:t>2个工作日（4</w:t>
      </w:r>
      <w:r w:rsidR="00520519">
        <w:rPr>
          <w:rFonts w:asciiTheme="minorEastAsia" w:hAnsiTheme="minorEastAsia" w:hint="eastAsia"/>
          <w:sz w:val="28"/>
          <w:szCs w:val="28"/>
        </w:rPr>
        <w:t>个半天）</w:t>
      </w:r>
      <w:r w:rsidR="007B3BE9">
        <w:rPr>
          <w:rFonts w:asciiTheme="minorEastAsia" w:hAnsiTheme="minorEastAsia" w:hint="eastAsia"/>
          <w:sz w:val="28"/>
          <w:szCs w:val="28"/>
        </w:rPr>
        <w:t>的时间</w:t>
      </w:r>
      <w:r w:rsidR="00520519">
        <w:rPr>
          <w:rFonts w:asciiTheme="minorEastAsia" w:hAnsiTheme="minorEastAsia" w:hint="eastAsia"/>
          <w:sz w:val="28"/>
          <w:szCs w:val="28"/>
        </w:rPr>
        <w:t>到中心坐班。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>三、访问学者工作内容</w:t>
      </w:r>
    </w:p>
    <w:p w:rsid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1、继续处理本</w:t>
      </w:r>
      <w:r w:rsidR="003C7043">
        <w:rPr>
          <w:rFonts w:asciiTheme="minorEastAsia" w:hAnsiTheme="minorEastAsia" w:hint="eastAsia"/>
          <w:sz w:val="28"/>
          <w:szCs w:val="28"/>
        </w:rPr>
        <w:t>研究机构</w:t>
      </w:r>
      <w:r w:rsidRPr="005A1748">
        <w:rPr>
          <w:rFonts w:asciiTheme="minorEastAsia" w:hAnsiTheme="minorEastAsia" w:hint="eastAsia"/>
          <w:sz w:val="28"/>
          <w:szCs w:val="28"/>
        </w:rPr>
        <w:t>的相关工作</w:t>
      </w:r>
    </w:p>
    <w:p w:rsidR="007E5DC3" w:rsidRPr="005A1748" w:rsidRDefault="007E5DC3" w:rsidP="007E5DC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Pr="005A1748">
        <w:rPr>
          <w:rFonts w:asciiTheme="minorEastAsia" w:hAnsiTheme="minorEastAsia" w:hint="eastAsia"/>
          <w:sz w:val="28"/>
          <w:szCs w:val="28"/>
        </w:rPr>
        <w:t>、旁听部分工作会议</w:t>
      </w:r>
    </w:p>
    <w:p w:rsidR="005A1748" w:rsidRPr="005A1748" w:rsidRDefault="007E5DC3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 w:rsidR="005A1748" w:rsidRPr="005A1748">
        <w:rPr>
          <w:rFonts w:asciiTheme="minorEastAsia" w:hAnsiTheme="minorEastAsia" w:hint="eastAsia"/>
          <w:sz w:val="28"/>
          <w:szCs w:val="28"/>
        </w:rPr>
        <w:t>、跟踪和评估上海市各研究机构的新情况新发展</w:t>
      </w:r>
      <w:r w:rsidR="00657D7D">
        <w:rPr>
          <w:rFonts w:asciiTheme="minorEastAsia" w:hAnsiTheme="minorEastAsia" w:hint="eastAsia"/>
          <w:sz w:val="28"/>
          <w:szCs w:val="28"/>
        </w:rPr>
        <w:t>，并于访学结束时提交一份本研究领域</w:t>
      </w:r>
      <w:r>
        <w:rPr>
          <w:rFonts w:asciiTheme="minorEastAsia" w:hAnsiTheme="minorEastAsia" w:hint="eastAsia"/>
          <w:sz w:val="28"/>
          <w:szCs w:val="28"/>
        </w:rPr>
        <w:t>的</w:t>
      </w:r>
      <w:r w:rsidR="00657D7D">
        <w:rPr>
          <w:rFonts w:asciiTheme="minorEastAsia" w:hAnsiTheme="minorEastAsia" w:hint="eastAsia"/>
          <w:sz w:val="28"/>
          <w:szCs w:val="28"/>
        </w:rPr>
        <w:t>上海</w:t>
      </w:r>
      <w:r w:rsidR="003C7043">
        <w:rPr>
          <w:rFonts w:asciiTheme="minorEastAsia" w:hAnsiTheme="minorEastAsia" w:hint="eastAsia"/>
          <w:sz w:val="28"/>
          <w:szCs w:val="28"/>
        </w:rPr>
        <w:t>（或全国）</w:t>
      </w:r>
      <w:r w:rsidR="00657D7D">
        <w:rPr>
          <w:rFonts w:asciiTheme="minorEastAsia" w:hAnsiTheme="minorEastAsia" w:hint="eastAsia"/>
          <w:sz w:val="28"/>
          <w:szCs w:val="28"/>
        </w:rPr>
        <w:t>各研究机构的情况综述。</w:t>
      </w:r>
    </w:p>
    <w:p w:rsidR="0093235B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4、组织稿件：结合自身研究</w:t>
      </w:r>
      <w:r w:rsidR="007E5DC3">
        <w:rPr>
          <w:rFonts w:asciiTheme="minorEastAsia" w:hAnsiTheme="minorEastAsia" w:hint="eastAsia"/>
          <w:sz w:val="28"/>
          <w:szCs w:val="28"/>
        </w:rPr>
        <w:t>和智库中心需要参与编辑和撰写政策建议报告。</w:t>
      </w:r>
      <w:r w:rsidR="007E5DC3" w:rsidRPr="005A1748">
        <w:rPr>
          <w:rFonts w:asciiTheme="minorEastAsia" w:hAnsiTheme="minorEastAsia"/>
          <w:sz w:val="28"/>
          <w:szCs w:val="28"/>
        </w:rPr>
        <w:t xml:space="preserve"> </w:t>
      </w:r>
    </w:p>
    <w:p w:rsid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>四、访问学者可以享受的资源</w:t>
      </w:r>
    </w:p>
    <w:p w:rsidR="004E536B" w:rsidRPr="00A34276" w:rsidRDefault="00A34276" w:rsidP="00A3427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7B3BE9">
        <w:rPr>
          <w:rFonts w:hint="eastAsia"/>
          <w:sz w:val="28"/>
          <w:szCs w:val="28"/>
        </w:rPr>
        <w:t>可享受</w:t>
      </w:r>
      <w:r w:rsidRPr="00A34276">
        <w:rPr>
          <w:rFonts w:hint="eastAsia"/>
          <w:sz w:val="28"/>
          <w:szCs w:val="28"/>
        </w:rPr>
        <w:t>专门的办公空间</w:t>
      </w:r>
      <w:r w:rsidR="0093235B">
        <w:rPr>
          <w:rFonts w:hint="eastAsia"/>
          <w:sz w:val="28"/>
          <w:szCs w:val="28"/>
        </w:rPr>
        <w:t>及</w:t>
      </w:r>
      <w:r w:rsidR="00D6187F">
        <w:rPr>
          <w:rFonts w:hint="eastAsia"/>
          <w:sz w:val="28"/>
          <w:szCs w:val="28"/>
        </w:rPr>
        <w:t>每月</w:t>
      </w:r>
      <w:r w:rsidR="007B3BE9">
        <w:rPr>
          <w:rFonts w:hint="eastAsia"/>
          <w:sz w:val="28"/>
          <w:szCs w:val="28"/>
        </w:rPr>
        <w:t>800</w:t>
      </w:r>
      <w:r w:rsidR="00D6187F">
        <w:rPr>
          <w:rFonts w:hint="eastAsia"/>
          <w:sz w:val="28"/>
          <w:szCs w:val="28"/>
        </w:rPr>
        <w:t>元</w:t>
      </w:r>
      <w:r w:rsidRPr="00A34276">
        <w:rPr>
          <w:rFonts w:hint="eastAsia"/>
          <w:sz w:val="28"/>
          <w:szCs w:val="28"/>
        </w:rPr>
        <w:t>的</w:t>
      </w:r>
      <w:r w:rsidR="007B3BE9">
        <w:rPr>
          <w:rFonts w:hint="eastAsia"/>
          <w:sz w:val="28"/>
          <w:szCs w:val="28"/>
        </w:rPr>
        <w:t>交通和</w:t>
      </w:r>
      <w:r w:rsidRPr="00A34276">
        <w:rPr>
          <w:rFonts w:hint="eastAsia"/>
          <w:sz w:val="28"/>
          <w:szCs w:val="28"/>
        </w:rPr>
        <w:t>伙食补助。</w:t>
      </w:r>
    </w:p>
    <w:p w:rsidR="005A1748" w:rsidRPr="005A1748" w:rsidRDefault="00A34276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5A1748" w:rsidRPr="005A1748">
        <w:rPr>
          <w:rFonts w:asciiTheme="minorEastAsia" w:hAnsiTheme="minorEastAsia" w:hint="eastAsia"/>
          <w:sz w:val="28"/>
          <w:szCs w:val="28"/>
        </w:rPr>
        <w:t>、</w:t>
      </w:r>
      <w:r w:rsidR="007B3BE9">
        <w:rPr>
          <w:rFonts w:asciiTheme="minorEastAsia" w:hAnsiTheme="minorEastAsia" w:hint="eastAsia"/>
          <w:sz w:val="28"/>
          <w:szCs w:val="28"/>
        </w:rPr>
        <w:t>可</w:t>
      </w:r>
      <w:r w:rsidR="005A1748" w:rsidRPr="005A1748">
        <w:rPr>
          <w:rFonts w:asciiTheme="minorEastAsia" w:hAnsiTheme="minorEastAsia" w:hint="eastAsia"/>
          <w:sz w:val="28"/>
          <w:szCs w:val="28"/>
        </w:rPr>
        <w:t>参加复旦大学举办的各类</w:t>
      </w:r>
      <w:r w:rsidR="00D6187F">
        <w:rPr>
          <w:rFonts w:asciiTheme="minorEastAsia" w:hAnsiTheme="minorEastAsia" w:hint="eastAsia"/>
          <w:sz w:val="28"/>
          <w:szCs w:val="28"/>
        </w:rPr>
        <w:t>讲座、研讨会等</w:t>
      </w:r>
      <w:r w:rsidR="005A1748" w:rsidRPr="005A1748">
        <w:rPr>
          <w:rFonts w:asciiTheme="minorEastAsia" w:hAnsiTheme="minorEastAsia" w:hint="eastAsia"/>
          <w:sz w:val="28"/>
          <w:szCs w:val="28"/>
        </w:rPr>
        <w:t>活动</w:t>
      </w:r>
    </w:p>
    <w:p w:rsidR="005A1748" w:rsidRPr="005A1748" w:rsidRDefault="00A34276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5A1748" w:rsidRPr="005A1748">
        <w:rPr>
          <w:rFonts w:asciiTheme="minorEastAsia" w:hAnsiTheme="minorEastAsia" w:hint="eastAsia"/>
          <w:sz w:val="28"/>
          <w:szCs w:val="28"/>
        </w:rPr>
        <w:t>、</w:t>
      </w:r>
      <w:r w:rsidR="007B3BE9">
        <w:rPr>
          <w:rFonts w:asciiTheme="minorEastAsia" w:hAnsiTheme="minorEastAsia" w:hint="eastAsia"/>
          <w:sz w:val="28"/>
          <w:szCs w:val="28"/>
        </w:rPr>
        <w:t>可</w:t>
      </w:r>
      <w:r w:rsidR="005A1748" w:rsidRPr="005A1748">
        <w:rPr>
          <w:rFonts w:asciiTheme="minorEastAsia" w:hAnsiTheme="minorEastAsia" w:hint="eastAsia"/>
          <w:sz w:val="28"/>
          <w:szCs w:val="28"/>
        </w:rPr>
        <w:t>使用复旦大学的课程资源</w:t>
      </w:r>
    </w:p>
    <w:p w:rsidR="005A1748" w:rsidRPr="005A1748" w:rsidRDefault="00A34276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5A1748" w:rsidRPr="005A1748">
        <w:rPr>
          <w:rFonts w:asciiTheme="minorEastAsia" w:hAnsiTheme="minorEastAsia" w:hint="eastAsia"/>
          <w:sz w:val="28"/>
          <w:szCs w:val="28"/>
        </w:rPr>
        <w:t>、</w:t>
      </w:r>
      <w:r w:rsidR="007B3BE9">
        <w:rPr>
          <w:rFonts w:asciiTheme="minorEastAsia" w:hAnsiTheme="minorEastAsia" w:hint="eastAsia"/>
          <w:sz w:val="28"/>
          <w:szCs w:val="28"/>
        </w:rPr>
        <w:t>可阅览和使用</w:t>
      </w:r>
      <w:r w:rsidR="005A1748" w:rsidRPr="005A1748">
        <w:rPr>
          <w:rFonts w:asciiTheme="minorEastAsia" w:hAnsiTheme="minorEastAsia" w:hint="eastAsia"/>
          <w:sz w:val="28"/>
          <w:szCs w:val="28"/>
        </w:rPr>
        <w:t>复旦大学图书馆已经购买的</w:t>
      </w:r>
      <w:r w:rsidR="007B3BE9">
        <w:rPr>
          <w:rFonts w:asciiTheme="minorEastAsia" w:hAnsiTheme="minorEastAsia" w:hint="eastAsia"/>
          <w:sz w:val="28"/>
          <w:szCs w:val="28"/>
        </w:rPr>
        <w:t>图书</w:t>
      </w:r>
      <w:r w:rsidR="005A1748" w:rsidRPr="005A1748">
        <w:rPr>
          <w:rFonts w:asciiTheme="minorEastAsia" w:hAnsiTheme="minorEastAsia" w:hint="eastAsia"/>
          <w:sz w:val="28"/>
          <w:szCs w:val="28"/>
        </w:rPr>
        <w:t>资源和网络数据库</w:t>
      </w:r>
    </w:p>
    <w:p w:rsidR="005A1748" w:rsidRPr="005A1748" w:rsidRDefault="00A34276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 w:rsidR="005A1748" w:rsidRPr="005A1748">
        <w:rPr>
          <w:rFonts w:asciiTheme="minorEastAsia" w:hAnsiTheme="minorEastAsia" w:hint="eastAsia"/>
          <w:sz w:val="28"/>
          <w:szCs w:val="28"/>
        </w:rPr>
        <w:t>、中心</w:t>
      </w:r>
      <w:r w:rsidR="007B3BE9">
        <w:rPr>
          <w:rFonts w:asciiTheme="minorEastAsia" w:hAnsiTheme="minorEastAsia" w:hint="eastAsia"/>
          <w:sz w:val="28"/>
          <w:szCs w:val="28"/>
        </w:rPr>
        <w:t>可</w:t>
      </w:r>
      <w:r w:rsidR="005A1748" w:rsidRPr="005A1748">
        <w:rPr>
          <w:rFonts w:asciiTheme="minorEastAsia" w:hAnsiTheme="minorEastAsia" w:hint="eastAsia"/>
          <w:sz w:val="28"/>
          <w:szCs w:val="28"/>
        </w:rPr>
        <w:t>为访问学者的调研提供相关资源和帮助</w:t>
      </w:r>
      <w:r w:rsidR="005A1748" w:rsidRPr="005A1748">
        <w:rPr>
          <w:rFonts w:asciiTheme="minorEastAsia" w:hAnsiTheme="minorEastAsia" w:hint="eastAsia"/>
          <w:sz w:val="28"/>
          <w:szCs w:val="28"/>
        </w:rPr>
        <w:tab/>
      </w:r>
    </w:p>
    <w:p w:rsidR="00A34276" w:rsidRPr="005A1748" w:rsidRDefault="0093235B" w:rsidP="0093235B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</w:t>
      </w:r>
      <w:r w:rsidR="005A1748" w:rsidRPr="005A1748">
        <w:rPr>
          <w:rFonts w:asciiTheme="minorEastAsia" w:hAnsiTheme="minorEastAsia" w:hint="eastAsia"/>
          <w:sz w:val="28"/>
          <w:szCs w:val="28"/>
        </w:rPr>
        <w:t>、访学结束后，可获得由中心颁发的访问学者荣誉证书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>五、</w:t>
      </w:r>
      <w:r>
        <w:rPr>
          <w:rFonts w:asciiTheme="minorEastAsia" w:hAnsiTheme="minorEastAsia" w:hint="eastAsia"/>
          <w:b/>
          <w:sz w:val="28"/>
          <w:szCs w:val="28"/>
        </w:rPr>
        <w:t>访问学者</w:t>
      </w:r>
      <w:r w:rsidRPr="005A1748">
        <w:rPr>
          <w:rFonts w:asciiTheme="minorEastAsia" w:hAnsiTheme="minorEastAsia" w:hint="eastAsia"/>
          <w:b/>
          <w:sz w:val="28"/>
          <w:szCs w:val="28"/>
        </w:rPr>
        <w:t>交流机制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1、智库内部建设研讨：访问学者分享</w:t>
      </w:r>
      <w:r w:rsidR="00520519">
        <w:rPr>
          <w:rFonts w:asciiTheme="minorEastAsia" w:hAnsiTheme="minorEastAsia" w:hint="eastAsia"/>
          <w:sz w:val="28"/>
          <w:szCs w:val="28"/>
        </w:rPr>
        <w:t>所在研究机构</w:t>
      </w:r>
      <w:r w:rsidRPr="005A1748">
        <w:rPr>
          <w:rFonts w:asciiTheme="minorEastAsia" w:hAnsiTheme="minorEastAsia" w:hint="eastAsia"/>
          <w:sz w:val="28"/>
          <w:szCs w:val="28"/>
        </w:rPr>
        <w:t>情况并就智库内部建设问题进行研讨和交流。</w:t>
      </w:r>
    </w:p>
    <w:p w:rsid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2、沙龙分享：</w:t>
      </w:r>
      <w:r w:rsidR="00520519">
        <w:rPr>
          <w:rFonts w:asciiTheme="minorEastAsia" w:hAnsiTheme="minorEastAsia" w:hint="eastAsia"/>
          <w:sz w:val="28"/>
          <w:szCs w:val="28"/>
        </w:rPr>
        <w:t>中心定期组织沙龙，访问学者分享各自研究成果并进交流。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 xml:space="preserve">六、访问学者招收程序 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 xml:space="preserve">招收访问学者遵照以下程序： </w:t>
      </w:r>
    </w:p>
    <w:p w:rsidR="005A1748" w:rsidRPr="005A1748" w:rsidRDefault="005A1748" w:rsidP="005A1748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>个人申请-所在智库推荐-</w:t>
      </w:r>
      <w:r w:rsidR="00520519">
        <w:rPr>
          <w:rFonts w:asciiTheme="minorEastAsia" w:hAnsiTheme="minorEastAsia" w:hint="eastAsia"/>
          <w:b/>
          <w:sz w:val="28"/>
          <w:szCs w:val="28"/>
        </w:rPr>
        <w:t>上海市高校</w:t>
      </w:r>
      <w:r w:rsidRPr="005A1748">
        <w:rPr>
          <w:rFonts w:asciiTheme="minorEastAsia" w:hAnsiTheme="minorEastAsia" w:hint="eastAsia"/>
          <w:b/>
          <w:sz w:val="28"/>
          <w:szCs w:val="28"/>
        </w:rPr>
        <w:t>智库研究和管理中心遴选</w:t>
      </w:r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 xml:space="preserve">七、申请材料 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 xml:space="preserve">申请者应向中心提交以下材料： 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lastRenderedPageBreak/>
        <w:t xml:space="preserve">（1）个人简历，包括教育与研究经历、已发表学术成果、撰写的政策建议专报等； 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（2）一份访学期间的政策建议报告撰写计划（</w:t>
      </w:r>
      <w:r w:rsidR="00B65A70">
        <w:rPr>
          <w:rFonts w:asciiTheme="minorEastAsia" w:hAnsiTheme="minorEastAsia" w:hint="eastAsia"/>
          <w:sz w:val="28"/>
          <w:szCs w:val="28"/>
        </w:rPr>
        <w:t>1000字左右</w:t>
      </w:r>
      <w:r w:rsidRPr="005A1748">
        <w:rPr>
          <w:rFonts w:asciiTheme="minorEastAsia" w:hAnsiTheme="minorEastAsia" w:hint="eastAsia"/>
          <w:sz w:val="28"/>
          <w:szCs w:val="28"/>
        </w:rPr>
        <w:t>）</w:t>
      </w:r>
    </w:p>
    <w:p w:rsidR="005A1748" w:rsidRPr="005A1748" w:rsidRDefault="005A1748" w:rsidP="009472A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（3）一封</w:t>
      </w:r>
      <w:r w:rsidR="009472AF">
        <w:rPr>
          <w:rFonts w:asciiTheme="minorEastAsia" w:hAnsiTheme="minorEastAsia" w:hint="eastAsia"/>
          <w:sz w:val="28"/>
          <w:szCs w:val="28"/>
        </w:rPr>
        <w:t>研究机构负责人</w:t>
      </w:r>
      <w:r w:rsidRPr="005A1748">
        <w:rPr>
          <w:rFonts w:asciiTheme="minorEastAsia" w:hAnsiTheme="minorEastAsia" w:hint="eastAsia"/>
          <w:sz w:val="28"/>
          <w:szCs w:val="28"/>
        </w:rPr>
        <w:t>的推荐信</w:t>
      </w:r>
      <w:bookmarkStart w:id="0" w:name="_GoBack"/>
      <w:bookmarkEnd w:id="0"/>
    </w:p>
    <w:p w:rsidR="005A1748" w:rsidRPr="005A1748" w:rsidRDefault="005A1748" w:rsidP="005A1748">
      <w:pPr>
        <w:rPr>
          <w:rFonts w:asciiTheme="minorEastAsia" w:hAnsiTheme="minorEastAsia"/>
          <w:b/>
          <w:sz w:val="28"/>
          <w:szCs w:val="28"/>
        </w:rPr>
      </w:pPr>
      <w:r w:rsidRPr="005A1748">
        <w:rPr>
          <w:rFonts w:asciiTheme="minorEastAsia" w:hAnsiTheme="minorEastAsia" w:hint="eastAsia"/>
          <w:b/>
          <w:sz w:val="28"/>
          <w:szCs w:val="28"/>
        </w:rPr>
        <w:t xml:space="preserve">八、申请时间和联系方式 </w:t>
      </w:r>
    </w:p>
    <w:p w:rsidR="0027394F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上海市高校智库研究和管理中心</w:t>
      </w:r>
      <w:r w:rsidR="007B3BE9">
        <w:rPr>
          <w:rFonts w:asciiTheme="minorEastAsia" w:hAnsiTheme="minorEastAsia" w:hint="eastAsia"/>
          <w:sz w:val="28"/>
          <w:szCs w:val="28"/>
        </w:rPr>
        <w:t>2015年上半年</w:t>
      </w:r>
      <w:r w:rsidRPr="005A1748">
        <w:rPr>
          <w:rFonts w:asciiTheme="minorEastAsia" w:hAnsiTheme="minorEastAsia" w:hint="eastAsia"/>
          <w:sz w:val="28"/>
          <w:szCs w:val="28"/>
        </w:rPr>
        <w:t>访问学者计划自</w:t>
      </w:r>
      <w:r w:rsidR="007B3BE9">
        <w:rPr>
          <w:rFonts w:asciiTheme="minorEastAsia" w:hAnsiTheme="minorEastAsia" w:hint="eastAsia"/>
          <w:sz w:val="28"/>
          <w:szCs w:val="28"/>
        </w:rPr>
        <w:t>3月10开始</w:t>
      </w:r>
      <w:r w:rsidR="0027394F">
        <w:rPr>
          <w:rFonts w:asciiTheme="minorEastAsia" w:hAnsiTheme="minorEastAsia" w:hint="eastAsia"/>
          <w:sz w:val="28"/>
          <w:szCs w:val="28"/>
        </w:rPr>
        <w:t>接受</w:t>
      </w:r>
      <w:r w:rsidR="007B3BE9">
        <w:rPr>
          <w:rFonts w:asciiTheme="minorEastAsia" w:hAnsiTheme="minorEastAsia" w:hint="eastAsia"/>
          <w:sz w:val="28"/>
          <w:szCs w:val="28"/>
        </w:rPr>
        <w:t>申请，至本月22日截止。请有兴趣参加的人员于3月22</w:t>
      </w:r>
      <w:r w:rsidR="0027394F">
        <w:rPr>
          <w:rFonts w:asciiTheme="minorEastAsia" w:hAnsiTheme="minorEastAsia" w:hint="eastAsia"/>
          <w:sz w:val="28"/>
          <w:szCs w:val="28"/>
        </w:rPr>
        <w:t>（周日）</w:t>
      </w:r>
      <w:r w:rsidR="007B3BE9">
        <w:rPr>
          <w:rFonts w:asciiTheme="minorEastAsia" w:hAnsiTheme="minorEastAsia" w:hint="eastAsia"/>
          <w:sz w:val="28"/>
          <w:szCs w:val="28"/>
        </w:rPr>
        <w:t>前将申请材料发送</w:t>
      </w:r>
      <w:proofErr w:type="gramStart"/>
      <w:r w:rsidR="007B3BE9">
        <w:rPr>
          <w:rFonts w:asciiTheme="minorEastAsia" w:hAnsiTheme="minorEastAsia" w:hint="eastAsia"/>
          <w:sz w:val="28"/>
          <w:szCs w:val="28"/>
        </w:rPr>
        <w:t>至联系</w:t>
      </w:r>
      <w:proofErr w:type="gramEnd"/>
      <w:r w:rsidR="007B3BE9">
        <w:rPr>
          <w:rFonts w:asciiTheme="minorEastAsia" w:hAnsiTheme="minorEastAsia" w:hint="eastAsia"/>
          <w:sz w:val="28"/>
          <w:szCs w:val="28"/>
        </w:rPr>
        <w:t>邮箱。</w:t>
      </w:r>
      <w:r w:rsidR="0027394F">
        <w:rPr>
          <w:rFonts w:asciiTheme="minorEastAsia" w:hAnsiTheme="minorEastAsia" w:hint="eastAsia"/>
          <w:sz w:val="28"/>
          <w:szCs w:val="28"/>
        </w:rPr>
        <w:t>我们将于3月26日前公布录取结果，并通知申请人及所在研究机构。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联系邮箱：centrems@fudan.edu.cn</w:t>
      </w:r>
    </w:p>
    <w:p w:rsidR="005A1748" w:rsidRP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A1748">
        <w:rPr>
          <w:rFonts w:asciiTheme="minorEastAsia" w:hAnsiTheme="minorEastAsia" w:hint="eastAsia"/>
          <w:sz w:val="28"/>
          <w:szCs w:val="28"/>
        </w:rPr>
        <w:t>联系电话：021-</w:t>
      </w:r>
      <w:proofErr w:type="gramStart"/>
      <w:r w:rsidRPr="005A1748">
        <w:rPr>
          <w:rFonts w:asciiTheme="minorEastAsia" w:hAnsiTheme="minorEastAsia" w:hint="eastAsia"/>
          <w:sz w:val="28"/>
          <w:szCs w:val="28"/>
        </w:rPr>
        <w:t>55665501  65642556</w:t>
      </w:r>
      <w:proofErr w:type="gramEnd"/>
      <w:r w:rsidRPr="005A1748">
        <w:rPr>
          <w:rFonts w:asciiTheme="minorEastAsia" w:hAnsiTheme="minorEastAsia" w:hint="eastAsia"/>
          <w:sz w:val="28"/>
          <w:szCs w:val="28"/>
        </w:rPr>
        <w:t xml:space="preserve">  </w:t>
      </w:r>
    </w:p>
    <w:p w:rsidR="005A1748" w:rsidRPr="005A1748" w:rsidRDefault="000E3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</w:t>
      </w:r>
      <w:r w:rsidR="005A1748" w:rsidRPr="005A1748">
        <w:rPr>
          <w:rFonts w:asciiTheme="minorEastAsia" w:hAnsiTheme="minorEastAsia" w:hint="eastAsia"/>
          <w:sz w:val="28"/>
          <w:szCs w:val="28"/>
        </w:rPr>
        <w:t>联系人：朱红</w:t>
      </w:r>
      <w:proofErr w:type="gramStart"/>
      <w:r w:rsidR="005A1748" w:rsidRPr="005A1748">
        <w:rPr>
          <w:rFonts w:asciiTheme="minorEastAsia" w:hAnsiTheme="minorEastAsia" w:hint="eastAsia"/>
          <w:sz w:val="28"/>
          <w:szCs w:val="28"/>
        </w:rPr>
        <w:t>蕊</w:t>
      </w:r>
      <w:proofErr w:type="gramEnd"/>
      <w:r w:rsidR="005A1748" w:rsidRPr="005A1748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5A1748" w:rsidRDefault="005A1748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93235B" w:rsidRDefault="0093235B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93235B" w:rsidRPr="005A1748" w:rsidRDefault="0093235B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5A1748" w:rsidRPr="005A1748" w:rsidRDefault="0093235B" w:rsidP="0093235B">
      <w:pPr>
        <w:ind w:firstLineChars="1500" w:firstLine="4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上海市高校智库研究和管理中心</w:t>
      </w:r>
    </w:p>
    <w:p w:rsidR="008D6010" w:rsidRPr="0093235B" w:rsidRDefault="0093235B" w:rsidP="005A174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2015年3月</w:t>
      </w:r>
      <w:r w:rsidR="0027394F">
        <w:rPr>
          <w:rFonts w:asciiTheme="minorEastAsia" w:hAnsiTheme="minorEastAsia" w:hint="eastAsia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8D6010" w:rsidRPr="0093235B" w:rsidSect="005B5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CC" w:rsidRDefault="006845CC" w:rsidP="00797E73">
      <w:pPr>
        <w:spacing w:line="240" w:lineRule="auto"/>
      </w:pPr>
      <w:r>
        <w:separator/>
      </w:r>
    </w:p>
  </w:endnote>
  <w:endnote w:type="continuationSeparator" w:id="0">
    <w:p w:rsidR="006845CC" w:rsidRDefault="006845CC" w:rsidP="00797E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CC" w:rsidRDefault="006845CC" w:rsidP="00797E73">
      <w:pPr>
        <w:spacing w:line="240" w:lineRule="auto"/>
      </w:pPr>
      <w:r>
        <w:separator/>
      </w:r>
    </w:p>
  </w:footnote>
  <w:footnote w:type="continuationSeparator" w:id="0">
    <w:p w:rsidR="006845CC" w:rsidRDefault="006845CC" w:rsidP="00797E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3276"/>
    <w:multiLevelType w:val="hybridMultilevel"/>
    <w:tmpl w:val="7A9E80DC"/>
    <w:lvl w:ilvl="0" w:tplc="FFEEE8C8">
      <w:start w:val="1"/>
      <w:numFmt w:val="japaneseCounting"/>
      <w:lvlText w:val="（%1）"/>
      <w:lvlJc w:val="left"/>
      <w:pPr>
        <w:ind w:left="1706" w:hanging="855"/>
      </w:pPr>
      <w:rPr>
        <w:b w:val="0"/>
        <w:lang w:val="en-US"/>
      </w:rPr>
    </w:lvl>
    <w:lvl w:ilvl="1" w:tplc="04090019">
      <w:start w:val="1"/>
      <w:numFmt w:val="lowerLetter"/>
      <w:lvlText w:val="%2)"/>
      <w:lvlJc w:val="left"/>
      <w:pPr>
        <w:ind w:left="1691" w:hanging="420"/>
      </w:pPr>
    </w:lvl>
    <w:lvl w:ilvl="2" w:tplc="0409001B">
      <w:start w:val="1"/>
      <w:numFmt w:val="lowerRoman"/>
      <w:lvlText w:val="%3."/>
      <w:lvlJc w:val="right"/>
      <w:pPr>
        <w:ind w:left="2111" w:hanging="420"/>
      </w:pPr>
    </w:lvl>
    <w:lvl w:ilvl="3" w:tplc="0409000F">
      <w:start w:val="1"/>
      <w:numFmt w:val="decimal"/>
      <w:lvlText w:val="%4."/>
      <w:lvlJc w:val="left"/>
      <w:pPr>
        <w:ind w:left="2531" w:hanging="420"/>
      </w:pPr>
    </w:lvl>
    <w:lvl w:ilvl="4" w:tplc="04090019">
      <w:start w:val="1"/>
      <w:numFmt w:val="lowerLetter"/>
      <w:lvlText w:val="%5)"/>
      <w:lvlJc w:val="left"/>
      <w:pPr>
        <w:ind w:left="2951" w:hanging="420"/>
      </w:pPr>
    </w:lvl>
    <w:lvl w:ilvl="5" w:tplc="0409001B">
      <w:start w:val="1"/>
      <w:numFmt w:val="lowerRoman"/>
      <w:lvlText w:val="%6."/>
      <w:lvlJc w:val="right"/>
      <w:pPr>
        <w:ind w:left="3371" w:hanging="420"/>
      </w:pPr>
    </w:lvl>
    <w:lvl w:ilvl="6" w:tplc="0409000F">
      <w:start w:val="1"/>
      <w:numFmt w:val="decimal"/>
      <w:lvlText w:val="%7."/>
      <w:lvlJc w:val="left"/>
      <w:pPr>
        <w:ind w:left="3791" w:hanging="420"/>
      </w:pPr>
    </w:lvl>
    <w:lvl w:ilvl="7" w:tplc="04090019">
      <w:start w:val="1"/>
      <w:numFmt w:val="lowerLetter"/>
      <w:lvlText w:val="%8)"/>
      <w:lvlJc w:val="left"/>
      <w:pPr>
        <w:ind w:left="4211" w:hanging="420"/>
      </w:pPr>
    </w:lvl>
    <w:lvl w:ilvl="8" w:tplc="0409001B">
      <w:start w:val="1"/>
      <w:numFmt w:val="lowerRoman"/>
      <w:lvlText w:val="%9."/>
      <w:lvlJc w:val="right"/>
      <w:pPr>
        <w:ind w:left="4631" w:hanging="420"/>
      </w:pPr>
    </w:lvl>
  </w:abstractNum>
  <w:abstractNum w:abstractNumId="1">
    <w:nsid w:val="454F22E0"/>
    <w:multiLevelType w:val="hybridMultilevel"/>
    <w:tmpl w:val="9F3C40B8"/>
    <w:lvl w:ilvl="0" w:tplc="D8E6950E">
      <w:start w:val="1"/>
      <w:numFmt w:val="japaneseCounting"/>
      <w:lvlText w:val="（%1）"/>
      <w:lvlJc w:val="left"/>
      <w:pPr>
        <w:ind w:left="1281" w:hanging="855"/>
      </w:pPr>
    </w:lvl>
    <w:lvl w:ilvl="1" w:tplc="04090019">
      <w:start w:val="1"/>
      <w:numFmt w:val="lowerLetter"/>
      <w:lvlText w:val="%2)"/>
      <w:lvlJc w:val="left"/>
      <w:pPr>
        <w:ind w:left="1097" w:hanging="420"/>
      </w:pPr>
    </w:lvl>
    <w:lvl w:ilvl="2" w:tplc="0409001B">
      <w:start w:val="1"/>
      <w:numFmt w:val="lowerRoman"/>
      <w:lvlText w:val="%3."/>
      <w:lvlJc w:val="right"/>
      <w:pPr>
        <w:ind w:left="1517" w:hanging="420"/>
      </w:pPr>
    </w:lvl>
    <w:lvl w:ilvl="3" w:tplc="0409000F">
      <w:start w:val="1"/>
      <w:numFmt w:val="decimal"/>
      <w:lvlText w:val="%4."/>
      <w:lvlJc w:val="left"/>
      <w:pPr>
        <w:ind w:left="1937" w:hanging="420"/>
      </w:pPr>
    </w:lvl>
    <w:lvl w:ilvl="4" w:tplc="04090019">
      <w:start w:val="1"/>
      <w:numFmt w:val="lowerLetter"/>
      <w:lvlText w:val="%5)"/>
      <w:lvlJc w:val="left"/>
      <w:pPr>
        <w:ind w:left="2357" w:hanging="420"/>
      </w:pPr>
    </w:lvl>
    <w:lvl w:ilvl="5" w:tplc="0409001B">
      <w:start w:val="1"/>
      <w:numFmt w:val="lowerRoman"/>
      <w:lvlText w:val="%6."/>
      <w:lvlJc w:val="right"/>
      <w:pPr>
        <w:ind w:left="2777" w:hanging="420"/>
      </w:pPr>
    </w:lvl>
    <w:lvl w:ilvl="6" w:tplc="0409000F">
      <w:start w:val="1"/>
      <w:numFmt w:val="decimal"/>
      <w:lvlText w:val="%7."/>
      <w:lvlJc w:val="left"/>
      <w:pPr>
        <w:ind w:left="3197" w:hanging="420"/>
      </w:pPr>
    </w:lvl>
    <w:lvl w:ilvl="7" w:tplc="04090019">
      <w:start w:val="1"/>
      <w:numFmt w:val="lowerLetter"/>
      <w:lvlText w:val="%8)"/>
      <w:lvlJc w:val="left"/>
      <w:pPr>
        <w:ind w:left="3617" w:hanging="420"/>
      </w:pPr>
    </w:lvl>
    <w:lvl w:ilvl="8" w:tplc="0409001B">
      <w:start w:val="1"/>
      <w:numFmt w:val="lowerRoman"/>
      <w:lvlText w:val="%9."/>
      <w:lvlJc w:val="right"/>
      <w:pPr>
        <w:ind w:left="4037" w:hanging="420"/>
      </w:pPr>
    </w:lvl>
  </w:abstractNum>
  <w:abstractNum w:abstractNumId="2">
    <w:nsid w:val="5443BB3A"/>
    <w:multiLevelType w:val="singleLevel"/>
    <w:tmpl w:val="5443BB3A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1FA"/>
    <w:rsid w:val="000133F4"/>
    <w:rsid w:val="000E3748"/>
    <w:rsid w:val="00181DA7"/>
    <w:rsid w:val="001B2413"/>
    <w:rsid w:val="002155A8"/>
    <w:rsid w:val="00231B91"/>
    <w:rsid w:val="00236E31"/>
    <w:rsid w:val="0027394F"/>
    <w:rsid w:val="002C7A0F"/>
    <w:rsid w:val="002D7174"/>
    <w:rsid w:val="003C7043"/>
    <w:rsid w:val="003F4665"/>
    <w:rsid w:val="004A35A9"/>
    <w:rsid w:val="004E536B"/>
    <w:rsid w:val="00520519"/>
    <w:rsid w:val="00551563"/>
    <w:rsid w:val="005925C1"/>
    <w:rsid w:val="005A1748"/>
    <w:rsid w:val="005B5742"/>
    <w:rsid w:val="00657D7D"/>
    <w:rsid w:val="006845CC"/>
    <w:rsid w:val="006E11FA"/>
    <w:rsid w:val="006F74FA"/>
    <w:rsid w:val="00721D8F"/>
    <w:rsid w:val="00797E73"/>
    <w:rsid w:val="007B3BE9"/>
    <w:rsid w:val="007E5DC3"/>
    <w:rsid w:val="00841123"/>
    <w:rsid w:val="00864A62"/>
    <w:rsid w:val="008D6010"/>
    <w:rsid w:val="0093235B"/>
    <w:rsid w:val="009472AF"/>
    <w:rsid w:val="00955251"/>
    <w:rsid w:val="00A34276"/>
    <w:rsid w:val="00AC45C4"/>
    <w:rsid w:val="00B65A70"/>
    <w:rsid w:val="00D6187F"/>
    <w:rsid w:val="00DC0BE8"/>
    <w:rsid w:val="00EC34D3"/>
    <w:rsid w:val="00F27F7F"/>
    <w:rsid w:val="00F364EA"/>
    <w:rsid w:val="00F5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7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73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797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97E73"/>
    <w:rPr>
      <w:rFonts w:ascii="宋体" w:eastAsia="宋体" w:hAnsi="宋体" w:cs="宋体"/>
      <w:kern w:val="0"/>
      <w:sz w:val="24"/>
      <w:szCs w:val="24"/>
    </w:rPr>
  </w:style>
  <w:style w:type="character" w:customStyle="1" w:styleId="highlight1">
    <w:name w:val="highlight1"/>
    <w:basedOn w:val="a0"/>
    <w:rsid w:val="00797E73"/>
    <w:rPr>
      <w:color w:val="FF0000"/>
    </w:rPr>
  </w:style>
  <w:style w:type="paragraph" w:styleId="a5">
    <w:name w:val="List Paragraph"/>
    <w:basedOn w:val="a"/>
    <w:uiPriority w:val="34"/>
    <w:qFormat/>
    <w:rsid w:val="00231B91"/>
    <w:pPr>
      <w:widowControl w:val="0"/>
      <w:spacing w:line="240" w:lineRule="auto"/>
      <w:ind w:firstLineChars="200" w:firstLine="420"/>
      <w:jc w:val="both"/>
    </w:pPr>
  </w:style>
  <w:style w:type="character" w:styleId="a6">
    <w:name w:val="Strong"/>
    <w:basedOn w:val="a0"/>
    <w:uiPriority w:val="22"/>
    <w:qFormat/>
    <w:rsid w:val="008D6010"/>
    <w:rPr>
      <w:b/>
      <w:bCs/>
    </w:rPr>
  </w:style>
  <w:style w:type="character" w:styleId="a7">
    <w:name w:val="Hyperlink"/>
    <w:basedOn w:val="a0"/>
    <w:uiPriority w:val="99"/>
    <w:semiHidden/>
    <w:unhideWhenUsed/>
    <w:rsid w:val="00955251"/>
    <w:rPr>
      <w:strike w:val="0"/>
      <w:dstrike w:val="0"/>
      <w:color w:val="0000FF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3C704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C70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7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73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797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97E73"/>
    <w:rPr>
      <w:rFonts w:ascii="宋体" w:eastAsia="宋体" w:hAnsi="宋体" w:cs="宋体"/>
      <w:kern w:val="0"/>
      <w:sz w:val="24"/>
      <w:szCs w:val="24"/>
    </w:rPr>
  </w:style>
  <w:style w:type="character" w:customStyle="1" w:styleId="highlight1">
    <w:name w:val="highlight1"/>
    <w:basedOn w:val="a0"/>
    <w:rsid w:val="00797E73"/>
    <w:rPr>
      <w:color w:val="FF0000"/>
    </w:rPr>
  </w:style>
  <w:style w:type="paragraph" w:styleId="a5">
    <w:name w:val="List Paragraph"/>
    <w:basedOn w:val="a"/>
    <w:uiPriority w:val="34"/>
    <w:qFormat/>
    <w:rsid w:val="00231B91"/>
    <w:pPr>
      <w:widowControl w:val="0"/>
      <w:spacing w:line="240" w:lineRule="auto"/>
      <w:ind w:firstLineChars="200" w:firstLine="420"/>
      <w:jc w:val="both"/>
    </w:pPr>
  </w:style>
  <w:style w:type="character" w:styleId="a6">
    <w:name w:val="Strong"/>
    <w:basedOn w:val="a0"/>
    <w:uiPriority w:val="22"/>
    <w:qFormat/>
    <w:rsid w:val="008D6010"/>
    <w:rPr>
      <w:b/>
      <w:bCs/>
    </w:rPr>
  </w:style>
  <w:style w:type="character" w:styleId="a7">
    <w:name w:val="Hyperlink"/>
    <w:basedOn w:val="a0"/>
    <w:uiPriority w:val="99"/>
    <w:semiHidden/>
    <w:unhideWhenUsed/>
    <w:rsid w:val="00955251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4434">
          <w:marLeft w:val="0"/>
          <w:marRight w:val="0"/>
          <w:marTop w:val="0"/>
          <w:marBottom w:val="0"/>
          <w:divBdr>
            <w:top w:val="single" w:sz="6" w:space="0" w:color="A9A9A9"/>
            <w:left w:val="single" w:sz="6" w:space="0" w:color="A9A9A9"/>
            <w:bottom w:val="single" w:sz="6" w:space="0" w:color="A9A9A9"/>
            <w:right w:val="single" w:sz="6" w:space="0" w:color="A9A9A9"/>
          </w:divBdr>
          <w:divsChild>
            <w:div w:id="1811021918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5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0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5759">
          <w:marLeft w:val="0"/>
          <w:marRight w:val="0"/>
          <w:marTop w:val="0"/>
          <w:marBottom w:val="0"/>
          <w:divBdr>
            <w:top w:val="single" w:sz="6" w:space="0" w:color="A9A9A9"/>
            <w:left w:val="single" w:sz="6" w:space="0" w:color="A9A9A9"/>
            <w:bottom w:val="single" w:sz="6" w:space="0" w:color="A9A9A9"/>
            <w:right w:val="single" w:sz="6" w:space="0" w:color="A9A9A9"/>
          </w:divBdr>
          <w:divsChild>
            <w:div w:id="908340940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6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18503">
          <w:marLeft w:val="0"/>
          <w:marRight w:val="0"/>
          <w:marTop w:val="0"/>
          <w:marBottom w:val="0"/>
          <w:divBdr>
            <w:top w:val="single" w:sz="6" w:space="0" w:color="A9A9A9"/>
            <w:left w:val="single" w:sz="6" w:space="0" w:color="A9A9A9"/>
            <w:bottom w:val="single" w:sz="6" w:space="0" w:color="A9A9A9"/>
            <w:right w:val="single" w:sz="6" w:space="0" w:color="A9A9A9"/>
          </w:divBdr>
          <w:divsChild>
            <w:div w:id="2067995658">
              <w:marLeft w:val="3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5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2015-03-09T07:55:00Z</dcterms:created>
  <dcterms:modified xsi:type="dcterms:W3CDTF">2015-03-10T02:16:00Z</dcterms:modified>
</cp:coreProperties>
</file>