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9A87C">
      <w:pPr>
        <w:spacing w:before="240" w:after="240" w:line="480" w:lineRule="auto"/>
        <w:ind w:firstLine="643"/>
        <w:jc w:val="center"/>
        <w:outlineLvl w:val="0"/>
        <w:rPr>
          <w:rFonts w:ascii="Times New Roman" w:hAnsi="Times New Roman" w:eastAsia="宋体" w:cs="Times New Roman"/>
          <w:b/>
          <w:sz w:val="32"/>
        </w:rPr>
      </w:pPr>
      <w:bookmarkStart w:id="0" w:name="_Toc485304266"/>
      <w:bookmarkStart w:id="1" w:name="_Toc500415107"/>
      <w:bookmarkStart w:id="2" w:name="_Toc500420309"/>
      <w:r>
        <w:rPr>
          <w:rFonts w:hint="eastAsia" w:ascii="Times New Roman" w:hAnsi="Times New Roman" w:eastAsia="宋体" w:cs="Times New Roman"/>
          <w:b/>
          <w:sz w:val="32"/>
        </w:rPr>
        <w:t>上海政法学院校园智慧水务系统（一期）建设项目</w:t>
      </w:r>
    </w:p>
    <w:p w14:paraId="3B6CCE90">
      <w:pPr>
        <w:spacing w:before="240" w:after="240" w:line="480" w:lineRule="auto"/>
        <w:ind w:firstLine="643"/>
        <w:jc w:val="center"/>
        <w:outlineLvl w:val="0"/>
        <w:rPr>
          <w:rFonts w:ascii="Times New Roman" w:hAnsi="Times New Roman" w:eastAsia="宋体" w:cs="Times New Roman"/>
          <w:b/>
          <w:szCs w:val="24"/>
        </w:rPr>
      </w:pPr>
      <w:r>
        <w:rPr>
          <w:rFonts w:hint="eastAsia" w:ascii="Times New Roman" w:hAnsi="Times New Roman" w:eastAsia="宋体" w:cs="Times New Roman"/>
          <w:b/>
          <w:sz w:val="32"/>
        </w:rPr>
        <w:t>招标需求</w:t>
      </w:r>
    </w:p>
    <w:p w14:paraId="583D420D">
      <w:pPr>
        <w:pStyle w:val="3"/>
        <w:numPr>
          <w:ilvl w:val="0"/>
          <w:numId w:val="0"/>
        </w:numPr>
        <w:spacing w:line="360" w:lineRule="auto"/>
        <w:ind w:left="862" w:leftChars="0"/>
        <w:rPr>
          <w:rFonts w:hint="eastAsia" w:ascii="仿宋" w:hAnsi="仿宋" w:eastAsia="仿宋" w:cs="仿宋"/>
          <w:sz w:val="32"/>
          <w:szCs w:val="32"/>
        </w:rPr>
      </w:pPr>
      <w:bookmarkStart w:id="3" w:name="_Toc500415101"/>
      <w:bookmarkStart w:id="4" w:name="_Toc500415103"/>
      <w:bookmarkStart w:id="5" w:name="_Toc500415099"/>
      <w:r>
        <w:rPr>
          <w:rFonts w:hint="eastAsia" w:ascii="仿宋" w:hAnsi="仿宋" w:eastAsia="仿宋" w:cs="仿宋"/>
          <w:sz w:val="32"/>
          <w:szCs w:val="32"/>
          <w:lang w:val="en-US" w:eastAsia="zh-CN"/>
        </w:rPr>
        <w:t>一、</w:t>
      </w:r>
      <w:r>
        <w:rPr>
          <w:rFonts w:hint="eastAsia" w:ascii="仿宋" w:hAnsi="仿宋" w:eastAsia="仿宋" w:cs="仿宋"/>
          <w:sz w:val="32"/>
          <w:szCs w:val="32"/>
        </w:rPr>
        <w:t>项目概况</w:t>
      </w:r>
    </w:p>
    <w:p w14:paraId="411BE176">
      <w:pPr>
        <w:pStyle w:val="13"/>
        <w:numPr>
          <w:ilvl w:val="0"/>
          <w:numId w:val="0"/>
        </w:numPr>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项目名称：上海政法学院校园智慧水务系统（一期）建设项目</w:t>
      </w:r>
    </w:p>
    <w:p w14:paraId="106A42B0">
      <w:pPr>
        <w:pStyle w:val="13"/>
        <w:numPr>
          <w:ilvl w:val="0"/>
          <w:numId w:val="0"/>
        </w:numPr>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项目预算：185000元（人民币）</w:t>
      </w:r>
    </w:p>
    <w:p w14:paraId="578D1534">
      <w:pPr>
        <w:pStyle w:val="13"/>
        <w:numPr>
          <w:ilvl w:val="0"/>
          <w:numId w:val="0"/>
        </w:numPr>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最高限价：185000元（人民币）</w:t>
      </w:r>
    </w:p>
    <w:p w14:paraId="5A735FBA">
      <w:pPr>
        <w:pStyle w:val="13"/>
        <w:widowControl/>
        <w:numPr>
          <w:ilvl w:val="0"/>
          <w:numId w:val="0"/>
        </w:numPr>
        <w:shd w:val="clear" w:color="auto" w:fill="FFFFFF"/>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项目概况：</w:t>
      </w:r>
      <w:r>
        <w:rPr>
          <w:rFonts w:hint="eastAsia" w:ascii="仿宋" w:hAnsi="仿宋" w:eastAsia="仿宋" w:cs="仿宋"/>
          <w:bCs/>
          <w:kern w:val="0"/>
          <w:sz w:val="32"/>
          <w:szCs w:val="32"/>
        </w:rPr>
        <w:t>为上海政法学院配备计量水表，搭建智慧用水管理系统</w:t>
      </w:r>
      <w:r>
        <w:rPr>
          <w:rFonts w:hint="eastAsia" w:ascii="仿宋" w:hAnsi="仿宋" w:eastAsia="仿宋" w:cs="仿宋"/>
          <w:bCs/>
          <w:kern w:val="0"/>
          <w:sz w:val="32"/>
          <w:szCs w:val="32"/>
          <w:lang w:eastAsia="zh-CN"/>
        </w:rPr>
        <w:t>。</w:t>
      </w:r>
    </w:p>
    <w:p w14:paraId="172C5BBB">
      <w:pPr>
        <w:pStyle w:val="13"/>
        <w:numPr>
          <w:ilvl w:val="0"/>
          <w:numId w:val="0"/>
        </w:numPr>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项目范围：上海市青浦区外青松公路7989号，上海政法学院（青浦校区）。</w:t>
      </w:r>
    </w:p>
    <w:p w14:paraId="1BC7E3C3">
      <w:pPr>
        <w:pStyle w:val="13"/>
        <w:numPr>
          <w:ilvl w:val="0"/>
          <w:numId w:val="0"/>
        </w:numPr>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服务地点：采购人指定地点。</w:t>
      </w:r>
    </w:p>
    <w:p w14:paraId="5E79669C">
      <w:pPr>
        <w:pStyle w:val="13"/>
        <w:numPr>
          <w:ilvl w:val="0"/>
          <w:numId w:val="0"/>
        </w:numPr>
        <w:spacing w:line="360" w:lineRule="auto"/>
        <w:ind w:leftChars="2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服务期限：</w:t>
      </w:r>
      <w:r>
        <w:rPr>
          <w:rFonts w:hint="eastAsia" w:ascii="仿宋" w:hAnsi="仿宋" w:eastAsia="仿宋" w:cs="仿宋"/>
          <w:bCs/>
          <w:kern w:val="0"/>
          <w:sz w:val="32"/>
          <w:szCs w:val="32"/>
        </w:rPr>
        <w:t>合同签订之日起1个月内完成。</w:t>
      </w:r>
    </w:p>
    <w:p w14:paraId="3EA2EC83">
      <w:pPr>
        <w:pStyle w:val="13"/>
        <w:numPr>
          <w:ilvl w:val="0"/>
          <w:numId w:val="0"/>
        </w:numPr>
        <w:spacing w:line="360" w:lineRule="auto"/>
        <w:ind w:leftChars="200" w:firstLine="640" w:firstLineChars="200"/>
        <w:rPr>
          <w:rFonts w:hint="eastAsia" w:ascii="仿宋" w:hAnsi="仿宋" w:eastAsia="仿宋" w:cs="仿宋"/>
          <w:sz w:val="32"/>
          <w:szCs w:val="32"/>
          <w:highlight w:val="none"/>
        </w:rPr>
      </w:pPr>
      <w:r>
        <w:rPr>
          <w:rFonts w:hint="eastAsia" w:ascii="仿宋" w:hAnsi="仿宋" w:eastAsia="仿宋" w:cs="仿宋"/>
          <w:bCs/>
          <w:kern w:val="0"/>
          <w:sz w:val="32"/>
          <w:szCs w:val="32"/>
          <w:highlight w:val="none"/>
          <w:lang w:val="en-US" w:eastAsia="zh-CN"/>
        </w:rPr>
        <w:t>8.</w:t>
      </w:r>
      <w:r>
        <w:rPr>
          <w:rFonts w:hint="eastAsia" w:ascii="仿宋" w:hAnsi="仿宋" w:eastAsia="仿宋" w:cs="仿宋"/>
          <w:bCs/>
          <w:kern w:val="0"/>
          <w:sz w:val="32"/>
          <w:szCs w:val="32"/>
          <w:highlight w:val="none"/>
        </w:rPr>
        <w:t>现场踏勘：根据学校招标要求本项目投标单位需进行现场踏勘。</w:t>
      </w:r>
    </w:p>
    <w:p w14:paraId="29BE2D33">
      <w:pPr>
        <w:pStyle w:val="13"/>
        <w:spacing w:line="360" w:lineRule="auto"/>
        <w:ind w:left="440" w:firstLine="0" w:firstLineChars="0"/>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 xml:space="preserve">   </w:t>
      </w:r>
      <w:r>
        <w:rPr>
          <w:rFonts w:hint="eastAsia" w:ascii="仿宋" w:hAnsi="仿宋" w:eastAsia="仿宋" w:cs="仿宋"/>
          <w:bCs/>
          <w:kern w:val="0"/>
          <w:sz w:val="32"/>
          <w:szCs w:val="32"/>
          <w:highlight w:val="none"/>
          <w:lang w:val="en-US" w:eastAsia="zh-CN"/>
        </w:rPr>
        <w:t xml:space="preserve">   </w:t>
      </w:r>
      <w:r>
        <w:rPr>
          <w:rFonts w:hint="eastAsia" w:ascii="仿宋" w:hAnsi="仿宋" w:eastAsia="仿宋" w:cs="仿宋"/>
          <w:bCs/>
          <w:kern w:val="0"/>
          <w:sz w:val="32"/>
          <w:szCs w:val="32"/>
          <w:highlight w:val="none"/>
        </w:rPr>
        <w:t>踏勘时间：2025年</w:t>
      </w:r>
      <w:r>
        <w:rPr>
          <w:rFonts w:hint="eastAsia" w:ascii="仿宋" w:hAnsi="仿宋" w:eastAsia="仿宋" w:cs="仿宋"/>
          <w:bCs/>
          <w:kern w:val="0"/>
          <w:sz w:val="32"/>
          <w:szCs w:val="32"/>
          <w:highlight w:val="none"/>
          <w:lang w:val="en-US" w:eastAsia="zh-CN"/>
        </w:rPr>
        <w:t>10</w:t>
      </w:r>
      <w:r>
        <w:rPr>
          <w:rFonts w:hint="eastAsia" w:ascii="仿宋" w:hAnsi="仿宋" w:eastAsia="仿宋" w:cs="仿宋"/>
          <w:bCs/>
          <w:kern w:val="0"/>
          <w:sz w:val="32"/>
          <w:szCs w:val="32"/>
          <w:highlight w:val="none"/>
        </w:rPr>
        <w:t>月</w:t>
      </w:r>
      <w:r>
        <w:rPr>
          <w:rFonts w:hint="eastAsia" w:ascii="仿宋" w:hAnsi="仿宋" w:eastAsia="仿宋" w:cs="仿宋"/>
          <w:bCs/>
          <w:kern w:val="0"/>
          <w:sz w:val="32"/>
          <w:szCs w:val="32"/>
          <w:highlight w:val="none"/>
          <w:lang w:val="en-US" w:eastAsia="zh-CN"/>
        </w:rPr>
        <w:t>9</w:t>
      </w:r>
      <w:r>
        <w:rPr>
          <w:rFonts w:hint="eastAsia" w:ascii="仿宋" w:hAnsi="仿宋" w:eastAsia="仿宋" w:cs="仿宋"/>
          <w:bCs/>
          <w:kern w:val="0"/>
          <w:sz w:val="32"/>
          <w:szCs w:val="32"/>
          <w:highlight w:val="none"/>
        </w:rPr>
        <w:t>日上午9:30</w:t>
      </w:r>
    </w:p>
    <w:p w14:paraId="44D76505">
      <w:pPr>
        <w:pStyle w:val="13"/>
        <w:numPr>
          <w:ilvl w:val="0"/>
          <w:numId w:val="0"/>
        </w:numPr>
        <w:spacing w:line="360" w:lineRule="auto"/>
        <w:ind w:firstLine="1280" w:firstLineChars="400"/>
        <w:rPr>
          <w:rFonts w:hint="eastAsia" w:ascii="仿宋" w:hAnsi="仿宋" w:eastAsia="仿宋" w:cs="仿宋"/>
          <w:bCs/>
          <w:kern w:val="0"/>
          <w:sz w:val="32"/>
          <w:szCs w:val="32"/>
          <w:highlight w:val="none"/>
          <w:lang w:val="en-US" w:eastAsia="zh-CN"/>
        </w:rPr>
      </w:pPr>
      <w:bookmarkStart w:id="16" w:name="_GoBack"/>
      <w:bookmarkEnd w:id="16"/>
      <w:r>
        <w:rPr>
          <w:rFonts w:hint="eastAsia" w:ascii="仿宋" w:hAnsi="仿宋" w:eastAsia="仿宋" w:cs="仿宋"/>
          <w:bCs/>
          <w:kern w:val="0"/>
          <w:sz w:val="32"/>
          <w:szCs w:val="32"/>
          <w:highlight w:val="none"/>
          <w:lang w:val="en-US" w:eastAsia="zh-CN"/>
        </w:rPr>
        <w:t>踏勘地点：上海政法学院成德楼210A</w:t>
      </w:r>
    </w:p>
    <w:p w14:paraId="67A4FC5E">
      <w:pPr>
        <w:pStyle w:val="13"/>
        <w:numPr>
          <w:ilvl w:val="0"/>
          <w:numId w:val="0"/>
        </w:numPr>
        <w:spacing w:line="360" w:lineRule="auto"/>
        <w:ind w:firstLine="1280" w:firstLineChars="400"/>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lang w:val="en-US" w:eastAsia="zh-CN"/>
        </w:rPr>
        <w:t>踏勘联系人：高老师，39225138</w:t>
      </w:r>
    </w:p>
    <w:p w14:paraId="7F13DBA6">
      <w:pPr>
        <w:pStyle w:val="3"/>
        <w:numPr>
          <w:ilvl w:val="0"/>
          <w:numId w:val="1"/>
        </w:numPr>
        <w:spacing w:line="360" w:lineRule="auto"/>
        <w:ind w:left="862" w:leftChars="0"/>
        <w:rPr>
          <w:rFonts w:hint="eastAsia" w:ascii="仿宋" w:hAnsi="仿宋" w:eastAsia="仿宋" w:cs="仿宋"/>
          <w:sz w:val="32"/>
          <w:szCs w:val="32"/>
        </w:rPr>
      </w:pPr>
      <w:r>
        <w:rPr>
          <w:rFonts w:hint="eastAsia" w:ascii="仿宋" w:hAnsi="仿宋" w:eastAsia="仿宋" w:cs="仿宋"/>
          <w:sz w:val="32"/>
          <w:szCs w:val="32"/>
        </w:rPr>
        <w:t>项目背景</w:t>
      </w:r>
    </w:p>
    <w:p w14:paraId="2E2F62CD">
      <w:pPr>
        <w:pStyle w:val="3"/>
        <w:numPr>
          <w:ilvl w:val="0"/>
          <w:numId w:val="0"/>
        </w:numPr>
        <w:spacing w:line="360" w:lineRule="auto"/>
        <w:ind w:firstLine="640" w:firstLineChars="200"/>
        <w:jc w:val="both"/>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2020年底，为贯彻落实《国家节水行动方案》，上海市水务局积极推进并指导用水单位以合同节水管理模式开展智慧用水管理系统建设，实现高校内部用水精细化管理。  2023年8月，为深入贯彻党的二十大精神，落实全面节约战略，促进节水产业发展，大力推广合同节水管理，水利部、国家发展改革委、财政部、科技部、工业和信息化部、住房城乡建设部、国管局联合印发《关于推广合同节水管理的若干措施》 。</w:t>
      </w:r>
    </w:p>
    <w:p w14:paraId="6A944CC4">
      <w:pPr>
        <w:pStyle w:val="3"/>
        <w:numPr>
          <w:ilvl w:val="0"/>
          <w:numId w:val="0"/>
        </w:numPr>
        <w:spacing w:line="360" w:lineRule="auto"/>
        <w:ind w:firstLine="640" w:firstLineChars="200"/>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开展学校智慧用水管理系统建设，可有效提高学校的用水效率，提升学校用水的精细化管理水平，是建设绿色校园、节水型高校的重要内容。为此，上海政法学院计划采用合同节水管理节水效果保证型的方式开展校区节水服务项目工作。通过智慧用水管理系统建设，采取相应整改措施，挖掘节水潜力，达到加强用水管理，提高合理用水水平的目的。</w:t>
      </w:r>
    </w:p>
    <w:p w14:paraId="5651E227">
      <w:pPr>
        <w:pStyle w:val="3"/>
        <w:numPr>
          <w:ilvl w:val="0"/>
          <w:numId w:val="0"/>
        </w:numPr>
        <w:ind w:left="862" w:leftChars="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主要建设内容</w:t>
      </w:r>
    </w:p>
    <w:p w14:paraId="1E5DE20A">
      <w:pPr>
        <w:pStyle w:val="14"/>
        <w:tabs>
          <w:tab w:val="clear" w:pos="1290"/>
        </w:tabs>
        <w:spacing w:line="360" w:lineRule="auto"/>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本项目主要内容如下：</w:t>
      </w:r>
    </w:p>
    <w:p w14:paraId="12B55461">
      <w:pPr>
        <w:pStyle w:val="14"/>
        <w:numPr>
          <w:ilvl w:val="0"/>
          <w:numId w:val="0"/>
        </w:numPr>
        <w:tabs>
          <w:tab w:val="clear" w:pos="1290"/>
        </w:tabs>
        <w:spacing w:line="360" w:lineRule="auto"/>
        <w:ind w:leftChars="20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结合校区管网情况，在学校安装11套智能远传水表及4G无线数据采集器，采集监测学校用水数据；</w:t>
      </w:r>
    </w:p>
    <w:p w14:paraId="5172D04C">
      <w:pPr>
        <w:pStyle w:val="14"/>
        <w:numPr>
          <w:ilvl w:val="0"/>
          <w:numId w:val="0"/>
        </w:numPr>
        <w:tabs>
          <w:tab w:val="clear" w:pos="1290"/>
        </w:tabs>
        <w:spacing w:line="360" w:lineRule="auto"/>
        <w:ind w:leftChars="20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智能远传水表4G无线数据采集器，配备安装不锈钢采集箱；</w:t>
      </w:r>
    </w:p>
    <w:p w14:paraId="3CADE341">
      <w:pPr>
        <w:pStyle w:val="14"/>
        <w:numPr>
          <w:ilvl w:val="0"/>
          <w:numId w:val="0"/>
        </w:numPr>
        <w:tabs>
          <w:tab w:val="clear" w:pos="1290"/>
        </w:tabs>
        <w:spacing w:line="360" w:lineRule="auto"/>
        <w:ind w:leftChars="20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建设一套智慧用水管理系统，持续提供在线水平衡服务，对存在异常用水的点位进行及时的报警提醒，实现学校用水的精细化管理。</w:t>
      </w:r>
    </w:p>
    <w:p w14:paraId="75F400D0">
      <w:pPr>
        <w:pStyle w:val="3"/>
        <w:numPr>
          <w:ilvl w:val="0"/>
          <w:numId w:val="0"/>
        </w:numPr>
        <w:ind w:left="862" w:leftChars="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工程量清单</w:t>
      </w:r>
    </w:p>
    <w:p w14:paraId="702BFF70">
      <w:pPr>
        <w:pStyle w:val="16"/>
        <w:spacing w:before="100" w:after="60" w:line="360" w:lineRule="auto"/>
        <w:rPr>
          <w:rFonts w:hint="eastAsia" w:ascii="仿宋" w:hAnsi="仿宋" w:eastAsia="仿宋" w:cs="仿宋"/>
          <w:sz w:val="32"/>
          <w:szCs w:val="32"/>
        </w:rPr>
      </w:pPr>
      <w:r>
        <w:rPr>
          <w:rFonts w:hint="eastAsia" w:ascii="仿宋" w:hAnsi="仿宋" w:eastAsia="仿宋" w:cs="仿宋"/>
          <w:sz w:val="32"/>
          <w:szCs w:val="32"/>
        </w:rPr>
        <w:t>工程量清单</w:t>
      </w:r>
    </w:p>
    <w:tbl>
      <w:tblPr>
        <w:tblStyle w:val="8"/>
        <w:tblW w:w="4998" w:type="pct"/>
        <w:tblInd w:w="0" w:type="dxa"/>
        <w:tblLayout w:type="autofit"/>
        <w:tblCellMar>
          <w:top w:w="0" w:type="dxa"/>
          <w:left w:w="108" w:type="dxa"/>
          <w:bottom w:w="0" w:type="dxa"/>
          <w:right w:w="108" w:type="dxa"/>
        </w:tblCellMar>
      </w:tblPr>
      <w:tblGrid>
        <w:gridCol w:w="1131"/>
        <w:gridCol w:w="2213"/>
        <w:gridCol w:w="1310"/>
        <w:gridCol w:w="1603"/>
        <w:gridCol w:w="2262"/>
      </w:tblGrid>
      <w:tr w14:paraId="584DEFB7">
        <w:tblPrEx>
          <w:tblCellMar>
            <w:top w:w="0" w:type="dxa"/>
            <w:left w:w="108" w:type="dxa"/>
            <w:bottom w:w="0" w:type="dxa"/>
            <w:right w:w="108" w:type="dxa"/>
          </w:tblCellMar>
        </w:tblPrEx>
        <w:trPr>
          <w:trHeight w:val="91" w:hRule="atLeast"/>
          <w:tblHeader/>
        </w:trPr>
        <w:tc>
          <w:tcPr>
            <w:tcW w:w="664" w:type="pct"/>
            <w:tcBorders>
              <w:top w:val="single" w:color="000000" w:sz="4" w:space="0"/>
              <w:left w:val="single" w:color="000000" w:sz="4" w:space="0"/>
              <w:bottom w:val="single" w:color="000000" w:sz="4" w:space="0"/>
              <w:right w:val="single" w:color="000000" w:sz="4" w:space="0"/>
            </w:tcBorders>
            <w:vAlign w:val="center"/>
          </w:tcPr>
          <w:p w14:paraId="62F37148">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序号</w:t>
            </w:r>
          </w:p>
        </w:tc>
        <w:tc>
          <w:tcPr>
            <w:tcW w:w="1299" w:type="pct"/>
            <w:tcBorders>
              <w:top w:val="single" w:color="000000" w:sz="4" w:space="0"/>
              <w:left w:val="single" w:color="000000" w:sz="4" w:space="0"/>
              <w:bottom w:val="single" w:color="000000" w:sz="4" w:space="0"/>
              <w:right w:val="single" w:color="000000" w:sz="4" w:space="0"/>
            </w:tcBorders>
            <w:vAlign w:val="center"/>
          </w:tcPr>
          <w:p w14:paraId="304DD244">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设备名称</w:t>
            </w:r>
          </w:p>
        </w:tc>
        <w:tc>
          <w:tcPr>
            <w:tcW w:w="769" w:type="pct"/>
            <w:tcBorders>
              <w:top w:val="single" w:color="000000" w:sz="4" w:space="0"/>
              <w:left w:val="single" w:color="000000" w:sz="4" w:space="0"/>
              <w:bottom w:val="single" w:color="000000" w:sz="4" w:space="0"/>
              <w:right w:val="single" w:color="000000" w:sz="4" w:space="0"/>
            </w:tcBorders>
            <w:vAlign w:val="center"/>
          </w:tcPr>
          <w:p w14:paraId="34883EE4">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规格</w:t>
            </w:r>
          </w:p>
        </w:tc>
        <w:tc>
          <w:tcPr>
            <w:tcW w:w="941" w:type="pct"/>
            <w:tcBorders>
              <w:top w:val="single" w:color="000000" w:sz="4" w:space="0"/>
              <w:left w:val="single" w:color="000000" w:sz="4" w:space="0"/>
              <w:bottom w:val="single" w:color="000000" w:sz="4" w:space="0"/>
              <w:right w:val="single" w:color="000000" w:sz="4" w:space="0"/>
            </w:tcBorders>
            <w:vAlign w:val="center"/>
          </w:tcPr>
          <w:p w14:paraId="69E16F8A">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数量</w:t>
            </w:r>
          </w:p>
        </w:tc>
        <w:tc>
          <w:tcPr>
            <w:tcW w:w="1327" w:type="pct"/>
            <w:tcBorders>
              <w:top w:val="single" w:color="000000" w:sz="4" w:space="0"/>
              <w:left w:val="single" w:color="000000" w:sz="4" w:space="0"/>
              <w:bottom w:val="single" w:color="000000" w:sz="4" w:space="0"/>
              <w:right w:val="single" w:color="000000" w:sz="4" w:space="0"/>
            </w:tcBorders>
            <w:vAlign w:val="center"/>
          </w:tcPr>
          <w:p w14:paraId="0881029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备注</w:t>
            </w:r>
          </w:p>
        </w:tc>
      </w:tr>
      <w:tr w14:paraId="0703CB09">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0F21F8A">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p>
        </w:tc>
        <w:tc>
          <w:tcPr>
            <w:tcW w:w="3009" w:type="pct"/>
            <w:gridSpan w:val="3"/>
            <w:tcBorders>
              <w:top w:val="single" w:color="000000" w:sz="4" w:space="0"/>
              <w:left w:val="single" w:color="000000" w:sz="4" w:space="0"/>
              <w:bottom w:val="single" w:color="000000" w:sz="4" w:space="0"/>
              <w:right w:val="single" w:color="000000" w:sz="4" w:space="0"/>
            </w:tcBorders>
            <w:vAlign w:val="center"/>
          </w:tcPr>
          <w:p w14:paraId="23B0C5BB">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计量表具、阀门等硬件</w:t>
            </w:r>
          </w:p>
        </w:tc>
        <w:tc>
          <w:tcPr>
            <w:tcW w:w="1327" w:type="pct"/>
            <w:tcBorders>
              <w:top w:val="single" w:color="000000" w:sz="4" w:space="0"/>
              <w:left w:val="single" w:color="000000" w:sz="4" w:space="0"/>
              <w:bottom w:val="single" w:color="000000" w:sz="4" w:space="0"/>
              <w:right w:val="single" w:color="000000" w:sz="4" w:space="0"/>
            </w:tcBorders>
            <w:vAlign w:val="center"/>
          </w:tcPr>
          <w:p w14:paraId="4F9E4D2E">
            <w:pPr>
              <w:widowControl/>
              <w:jc w:val="center"/>
              <w:rPr>
                <w:rFonts w:hint="eastAsia" w:ascii="仿宋" w:hAnsi="仿宋" w:eastAsia="仿宋" w:cs="仿宋"/>
                <w:color w:val="000000" w:themeColor="text1"/>
                <w:sz w:val="32"/>
                <w:szCs w:val="32"/>
                <w14:textFill>
                  <w14:solidFill>
                    <w14:schemeClr w14:val="tx1"/>
                  </w14:solidFill>
                </w14:textFill>
              </w:rPr>
            </w:pPr>
          </w:p>
        </w:tc>
      </w:tr>
      <w:tr w14:paraId="19A6AD2D">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3790CC45">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1299" w:type="pct"/>
            <w:tcBorders>
              <w:top w:val="single" w:color="000000" w:sz="4" w:space="0"/>
              <w:left w:val="single" w:color="000000" w:sz="4" w:space="0"/>
              <w:bottom w:val="single" w:color="000000" w:sz="4" w:space="0"/>
              <w:right w:val="single" w:color="000000" w:sz="4" w:space="0"/>
            </w:tcBorders>
            <w:vAlign w:val="center"/>
          </w:tcPr>
          <w:p w14:paraId="48F94F27">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智能远传水表</w:t>
            </w:r>
          </w:p>
        </w:tc>
        <w:tc>
          <w:tcPr>
            <w:tcW w:w="769" w:type="pct"/>
            <w:tcBorders>
              <w:top w:val="single" w:color="000000" w:sz="4" w:space="0"/>
              <w:left w:val="single" w:color="000000" w:sz="4" w:space="0"/>
              <w:bottom w:val="single" w:color="000000" w:sz="4" w:space="0"/>
              <w:right w:val="single" w:color="000000" w:sz="4" w:space="0"/>
            </w:tcBorders>
            <w:vAlign w:val="center"/>
          </w:tcPr>
          <w:p w14:paraId="1F5E6E13">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DN150</w:t>
            </w:r>
          </w:p>
        </w:tc>
        <w:tc>
          <w:tcPr>
            <w:tcW w:w="941" w:type="pct"/>
            <w:tcBorders>
              <w:top w:val="single" w:color="000000" w:sz="4" w:space="0"/>
              <w:left w:val="single" w:color="000000" w:sz="4" w:space="0"/>
              <w:bottom w:val="single" w:color="000000" w:sz="4" w:space="0"/>
              <w:right w:val="single" w:color="000000" w:sz="4" w:space="0"/>
            </w:tcBorders>
            <w:vAlign w:val="center"/>
          </w:tcPr>
          <w:p w14:paraId="04B19FC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2D4A6237">
            <w:pPr>
              <w:widowControl/>
              <w:jc w:val="center"/>
              <w:rPr>
                <w:rFonts w:hint="eastAsia" w:ascii="仿宋" w:hAnsi="仿宋" w:eastAsia="仿宋" w:cs="仿宋"/>
                <w:sz w:val="32"/>
                <w:szCs w:val="32"/>
              </w:rPr>
            </w:pPr>
            <w:r>
              <w:rPr>
                <w:rFonts w:hint="eastAsia" w:ascii="仿宋" w:hAnsi="仿宋" w:eastAsia="仿宋" w:cs="仿宋"/>
                <w:sz w:val="32"/>
                <w:szCs w:val="32"/>
              </w:rPr>
              <w:t>满足“硬件要求”</w:t>
            </w:r>
          </w:p>
        </w:tc>
      </w:tr>
      <w:tr w14:paraId="08A87C2E">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2A4E5EFB">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tc>
        <w:tc>
          <w:tcPr>
            <w:tcW w:w="1299" w:type="pct"/>
            <w:tcBorders>
              <w:top w:val="single" w:color="000000" w:sz="4" w:space="0"/>
              <w:left w:val="single" w:color="000000" w:sz="4" w:space="0"/>
              <w:bottom w:val="single" w:color="000000" w:sz="4" w:space="0"/>
              <w:right w:val="single" w:color="000000" w:sz="4" w:space="0"/>
            </w:tcBorders>
            <w:vAlign w:val="center"/>
          </w:tcPr>
          <w:p w14:paraId="1B9E8F8A">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智能远传水表</w:t>
            </w:r>
          </w:p>
        </w:tc>
        <w:tc>
          <w:tcPr>
            <w:tcW w:w="769" w:type="pct"/>
            <w:tcBorders>
              <w:top w:val="single" w:color="000000" w:sz="4" w:space="0"/>
              <w:left w:val="single" w:color="000000" w:sz="4" w:space="0"/>
              <w:bottom w:val="single" w:color="000000" w:sz="4" w:space="0"/>
              <w:right w:val="single" w:color="000000" w:sz="4" w:space="0"/>
            </w:tcBorders>
            <w:vAlign w:val="center"/>
          </w:tcPr>
          <w:p w14:paraId="2CF55822">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DN100</w:t>
            </w:r>
          </w:p>
        </w:tc>
        <w:tc>
          <w:tcPr>
            <w:tcW w:w="941" w:type="pct"/>
            <w:tcBorders>
              <w:top w:val="single" w:color="000000" w:sz="4" w:space="0"/>
              <w:left w:val="single" w:color="000000" w:sz="4" w:space="0"/>
              <w:bottom w:val="single" w:color="000000" w:sz="4" w:space="0"/>
              <w:right w:val="single" w:color="000000" w:sz="4" w:space="0"/>
            </w:tcBorders>
            <w:vAlign w:val="center"/>
          </w:tcPr>
          <w:p w14:paraId="5B42D044">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4</w:t>
            </w:r>
          </w:p>
        </w:tc>
        <w:tc>
          <w:tcPr>
            <w:tcW w:w="1327" w:type="pct"/>
            <w:tcBorders>
              <w:top w:val="single" w:color="000000" w:sz="4" w:space="0"/>
              <w:left w:val="single" w:color="000000" w:sz="4" w:space="0"/>
              <w:bottom w:val="single" w:color="000000" w:sz="4" w:space="0"/>
              <w:right w:val="single" w:color="000000" w:sz="4" w:space="0"/>
            </w:tcBorders>
          </w:tcPr>
          <w:p w14:paraId="2D3C9839">
            <w:pPr>
              <w:widowControl/>
              <w:jc w:val="center"/>
              <w:rPr>
                <w:rFonts w:hint="eastAsia" w:ascii="仿宋" w:hAnsi="仿宋" w:eastAsia="仿宋" w:cs="仿宋"/>
                <w:sz w:val="32"/>
                <w:szCs w:val="32"/>
              </w:rPr>
            </w:pPr>
            <w:r>
              <w:rPr>
                <w:rFonts w:hint="eastAsia" w:ascii="仿宋" w:hAnsi="仿宋" w:eastAsia="仿宋" w:cs="仿宋"/>
                <w:sz w:val="32"/>
                <w:szCs w:val="32"/>
              </w:rPr>
              <w:t>满足“硬件要求”</w:t>
            </w:r>
          </w:p>
        </w:tc>
      </w:tr>
      <w:tr w14:paraId="3533CF31">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2B0B066">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p>
        </w:tc>
        <w:tc>
          <w:tcPr>
            <w:tcW w:w="1299" w:type="pct"/>
            <w:tcBorders>
              <w:top w:val="single" w:color="000000" w:sz="4" w:space="0"/>
              <w:left w:val="single" w:color="000000" w:sz="4" w:space="0"/>
              <w:bottom w:val="single" w:color="000000" w:sz="4" w:space="0"/>
              <w:right w:val="single" w:color="000000" w:sz="4" w:space="0"/>
            </w:tcBorders>
            <w:vAlign w:val="center"/>
          </w:tcPr>
          <w:p w14:paraId="0F6C2208">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智能远传水表</w:t>
            </w:r>
          </w:p>
        </w:tc>
        <w:tc>
          <w:tcPr>
            <w:tcW w:w="769" w:type="pct"/>
            <w:tcBorders>
              <w:top w:val="single" w:color="000000" w:sz="4" w:space="0"/>
              <w:left w:val="single" w:color="000000" w:sz="4" w:space="0"/>
              <w:bottom w:val="single" w:color="000000" w:sz="4" w:space="0"/>
              <w:right w:val="single" w:color="000000" w:sz="4" w:space="0"/>
            </w:tcBorders>
            <w:vAlign w:val="center"/>
          </w:tcPr>
          <w:p w14:paraId="426252B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DN65</w:t>
            </w:r>
          </w:p>
        </w:tc>
        <w:tc>
          <w:tcPr>
            <w:tcW w:w="941" w:type="pct"/>
            <w:tcBorders>
              <w:top w:val="single" w:color="000000" w:sz="4" w:space="0"/>
              <w:left w:val="single" w:color="000000" w:sz="4" w:space="0"/>
              <w:bottom w:val="single" w:color="000000" w:sz="4" w:space="0"/>
              <w:right w:val="single" w:color="000000" w:sz="4" w:space="0"/>
            </w:tcBorders>
            <w:vAlign w:val="center"/>
          </w:tcPr>
          <w:p w14:paraId="510D0196">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w:t>
            </w:r>
          </w:p>
        </w:tc>
        <w:tc>
          <w:tcPr>
            <w:tcW w:w="1327" w:type="pct"/>
            <w:tcBorders>
              <w:top w:val="single" w:color="000000" w:sz="4" w:space="0"/>
              <w:left w:val="single" w:color="000000" w:sz="4" w:space="0"/>
              <w:bottom w:val="single" w:color="000000" w:sz="4" w:space="0"/>
              <w:right w:val="single" w:color="000000" w:sz="4" w:space="0"/>
            </w:tcBorders>
          </w:tcPr>
          <w:p w14:paraId="7B02CB07">
            <w:pPr>
              <w:widowControl/>
              <w:jc w:val="center"/>
              <w:rPr>
                <w:rFonts w:hint="eastAsia" w:ascii="仿宋" w:hAnsi="仿宋" w:eastAsia="仿宋" w:cs="仿宋"/>
                <w:sz w:val="32"/>
                <w:szCs w:val="32"/>
              </w:rPr>
            </w:pPr>
            <w:r>
              <w:rPr>
                <w:rFonts w:hint="eastAsia" w:ascii="仿宋" w:hAnsi="仿宋" w:eastAsia="仿宋" w:cs="仿宋"/>
                <w:sz w:val="32"/>
                <w:szCs w:val="32"/>
              </w:rPr>
              <w:t>满足“硬件要求”</w:t>
            </w:r>
          </w:p>
        </w:tc>
      </w:tr>
      <w:tr w14:paraId="67C8E7E8">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1FA06A30">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c>
          <w:tcPr>
            <w:tcW w:w="1299" w:type="pct"/>
            <w:tcBorders>
              <w:top w:val="single" w:color="000000" w:sz="4" w:space="0"/>
              <w:left w:val="single" w:color="000000" w:sz="4" w:space="0"/>
              <w:bottom w:val="single" w:color="000000" w:sz="4" w:space="0"/>
              <w:right w:val="single" w:color="000000" w:sz="4" w:space="0"/>
            </w:tcBorders>
            <w:vAlign w:val="center"/>
          </w:tcPr>
          <w:p w14:paraId="68166FA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智能远传水表</w:t>
            </w:r>
          </w:p>
        </w:tc>
        <w:tc>
          <w:tcPr>
            <w:tcW w:w="769" w:type="pct"/>
            <w:tcBorders>
              <w:top w:val="single" w:color="000000" w:sz="4" w:space="0"/>
              <w:left w:val="single" w:color="000000" w:sz="4" w:space="0"/>
              <w:bottom w:val="single" w:color="000000" w:sz="4" w:space="0"/>
              <w:right w:val="single" w:color="000000" w:sz="4" w:space="0"/>
            </w:tcBorders>
            <w:vAlign w:val="center"/>
          </w:tcPr>
          <w:p w14:paraId="3FC7418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DN50</w:t>
            </w:r>
          </w:p>
        </w:tc>
        <w:tc>
          <w:tcPr>
            <w:tcW w:w="941" w:type="pct"/>
            <w:tcBorders>
              <w:top w:val="single" w:color="000000" w:sz="4" w:space="0"/>
              <w:left w:val="single" w:color="000000" w:sz="4" w:space="0"/>
              <w:bottom w:val="single" w:color="000000" w:sz="4" w:space="0"/>
              <w:right w:val="single" w:color="000000" w:sz="4" w:space="0"/>
            </w:tcBorders>
            <w:vAlign w:val="center"/>
          </w:tcPr>
          <w:p w14:paraId="5A2A81CF">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5</w:t>
            </w:r>
          </w:p>
        </w:tc>
        <w:tc>
          <w:tcPr>
            <w:tcW w:w="1327" w:type="pct"/>
            <w:tcBorders>
              <w:top w:val="single" w:color="000000" w:sz="4" w:space="0"/>
              <w:left w:val="single" w:color="000000" w:sz="4" w:space="0"/>
              <w:bottom w:val="single" w:color="000000" w:sz="4" w:space="0"/>
              <w:right w:val="single" w:color="000000" w:sz="4" w:space="0"/>
            </w:tcBorders>
          </w:tcPr>
          <w:p w14:paraId="2BC2B5E5">
            <w:pPr>
              <w:widowControl/>
              <w:jc w:val="center"/>
              <w:rPr>
                <w:rFonts w:hint="eastAsia" w:ascii="仿宋" w:hAnsi="仿宋" w:eastAsia="仿宋" w:cs="仿宋"/>
                <w:sz w:val="32"/>
                <w:szCs w:val="32"/>
              </w:rPr>
            </w:pPr>
            <w:r>
              <w:rPr>
                <w:rFonts w:hint="eastAsia" w:ascii="仿宋" w:hAnsi="仿宋" w:eastAsia="仿宋" w:cs="仿宋"/>
                <w:sz w:val="32"/>
                <w:szCs w:val="32"/>
              </w:rPr>
              <w:t>满足“硬件要求”</w:t>
            </w:r>
          </w:p>
        </w:tc>
      </w:tr>
      <w:tr w14:paraId="1CEB4C89">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2175A7B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p>
        </w:tc>
        <w:tc>
          <w:tcPr>
            <w:tcW w:w="1299" w:type="pct"/>
            <w:tcBorders>
              <w:top w:val="single" w:color="000000" w:sz="4" w:space="0"/>
              <w:left w:val="single" w:color="000000" w:sz="4" w:space="0"/>
              <w:bottom w:val="single" w:color="000000" w:sz="4" w:space="0"/>
              <w:right w:val="single" w:color="000000" w:sz="4" w:space="0"/>
            </w:tcBorders>
            <w:vAlign w:val="center"/>
          </w:tcPr>
          <w:p w14:paraId="39AF072B">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阀门</w:t>
            </w:r>
          </w:p>
        </w:tc>
        <w:tc>
          <w:tcPr>
            <w:tcW w:w="769" w:type="pct"/>
            <w:tcBorders>
              <w:top w:val="single" w:color="000000" w:sz="4" w:space="0"/>
              <w:left w:val="single" w:color="000000" w:sz="4" w:space="0"/>
              <w:bottom w:val="single" w:color="000000" w:sz="4" w:space="0"/>
              <w:right w:val="single" w:color="000000" w:sz="4" w:space="0"/>
            </w:tcBorders>
            <w:vAlign w:val="center"/>
          </w:tcPr>
          <w:p w14:paraId="0AB2DC9C">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DN100</w:t>
            </w:r>
          </w:p>
        </w:tc>
        <w:tc>
          <w:tcPr>
            <w:tcW w:w="941" w:type="pct"/>
            <w:tcBorders>
              <w:top w:val="single" w:color="000000" w:sz="4" w:space="0"/>
              <w:left w:val="single" w:color="000000" w:sz="4" w:space="0"/>
              <w:bottom w:val="single" w:color="000000" w:sz="4" w:space="0"/>
              <w:right w:val="single" w:color="000000" w:sz="4" w:space="0"/>
            </w:tcBorders>
            <w:vAlign w:val="center"/>
          </w:tcPr>
          <w:p w14:paraId="0AC5F3F0">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w:t>
            </w:r>
          </w:p>
        </w:tc>
        <w:tc>
          <w:tcPr>
            <w:tcW w:w="1327" w:type="pct"/>
            <w:tcBorders>
              <w:top w:val="single" w:color="000000" w:sz="4" w:space="0"/>
              <w:left w:val="single" w:color="000000" w:sz="4" w:space="0"/>
              <w:bottom w:val="single" w:color="000000" w:sz="4" w:space="0"/>
              <w:right w:val="single" w:color="000000" w:sz="4" w:space="0"/>
            </w:tcBorders>
          </w:tcPr>
          <w:p w14:paraId="672BF88E">
            <w:pPr>
              <w:widowControl/>
              <w:jc w:val="center"/>
              <w:rPr>
                <w:rFonts w:hint="eastAsia" w:ascii="仿宋" w:hAnsi="仿宋" w:eastAsia="仿宋" w:cs="仿宋"/>
                <w:sz w:val="32"/>
                <w:szCs w:val="32"/>
              </w:rPr>
            </w:pPr>
            <w:bookmarkStart w:id="6" w:name="OLE_LINK1"/>
            <w:r>
              <w:rPr>
                <w:rFonts w:hint="eastAsia" w:ascii="仿宋" w:hAnsi="仿宋" w:eastAsia="仿宋" w:cs="仿宋"/>
                <w:sz w:val="32"/>
                <w:szCs w:val="32"/>
              </w:rPr>
              <w:t>铸铁</w:t>
            </w:r>
            <w:bookmarkEnd w:id="6"/>
          </w:p>
        </w:tc>
      </w:tr>
      <w:tr w14:paraId="68C09B46">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09E3DB4C">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p>
        </w:tc>
        <w:tc>
          <w:tcPr>
            <w:tcW w:w="1299" w:type="pct"/>
            <w:tcBorders>
              <w:top w:val="single" w:color="000000" w:sz="4" w:space="0"/>
              <w:left w:val="single" w:color="000000" w:sz="4" w:space="0"/>
              <w:bottom w:val="single" w:color="000000" w:sz="4" w:space="0"/>
              <w:right w:val="single" w:color="000000" w:sz="4" w:space="0"/>
            </w:tcBorders>
            <w:vAlign w:val="center"/>
          </w:tcPr>
          <w:p w14:paraId="05609694">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阀门</w:t>
            </w:r>
          </w:p>
        </w:tc>
        <w:tc>
          <w:tcPr>
            <w:tcW w:w="769" w:type="pct"/>
            <w:tcBorders>
              <w:top w:val="single" w:color="000000" w:sz="4" w:space="0"/>
              <w:left w:val="single" w:color="000000" w:sz="4" w:space="0"/>
              <w:bottom w:val="single" w:color="000000" w:sz="4" w:space="0"/>
              <w:right w:val="single" w:color="000000" w:sz="4" w:space="0"/>
            </w:tcBorders>
            <w:vAlign w:val="center"/>
          </w:tcPr>
          <w:p w14:paraId="657D666F">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DN65</w:t>
            </w:r>
          </w:p>
        </w:tc>
        <w:tc>
          <w:tcPr>
            <w:tcW w:w="941" w:type="pct"/>
            <w:tcBorders>
              <w:top w:val="single" w:color="000000" w:sz="4" w:space="0"/>
              <w:left w:val="single" w:color="000000" w:sz="4" w:space="0"/>
              <w:bottom w:val="single" w:color="000000" w:sz="4" w:space="0"/>
              <w:right w:val="single" w:color="000000" w:sz="4" w:space="0"/>
            </w:tcBorders>
            <w:vAlign w:val="center"/>
          </w:tcPr>
          <w:p w14:paraId="16CF92C8">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w:t>
            </w:r>
          </w:p>
        </w:tc>
        <w:tc>
          <w:tcPr>
            <w:tcW w:w="1327" w:type="pct"/>
            <w:tcBorders>
              <w:top w:val="single" w:color="000000" w:sz="4" w:space="0"/>
              <w:left w:val="single" w:color="000000" w:sz="4" w:space="0"/>
              <w:bottom w:val="single" w:color="000000" w:sz="4" w:space="0"/>
              <w:right w:val="single" w:color="000000" w:sz="4" w:space="0"/>
            </w:tcBorders>
          </w:tcPr>
          <w:p w14:paraId="343ED00F">
            <w:pPr>
              <w:widowControl/>
              <w:jc w:val="center"/>
              <w:rPr>
                <w:rFonts w:hint="eastAsia" w:ascii="仿宋" w:hAnsi="仿宋" w:eastAsia="仿宋" w:cs="仿宋"/>
                <w:sz w:val="32"/>
                <w:szCs w:val="32"/>
              </w:rPr>
            </w:pPr>
            <w:r>
              <w:rPr>
                <w:rFonts w:hint="eastAsia" w:ascii="仿宋" w:hAnsi="仿宋" w:eastAsia="仿宋" w:cs="仿宋"/>
                <w:sz w:val="32"/>
                <w:szCs w:val="32"/>
              </w:rPr>
              <w:t>铸铁</w:t>
            </w:r>
          </w:p>
        </w:tc>
      </w:tr>
      <w:tr w14:paraId="107DF81D">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011C5B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p>
        </w:tc>
        <w:tc>
          <w:tcPr>
            <w:tcW w:w="3009" w:type="pct"/>
            <w:gridSpan w:val="3"/>
            <w:tcBorders>
              <w:top w:val="single" w:color="000000" w:sz="4" w:space="0"/>
              <w:left w:val="single" w:color="000000" w:sz="4" w:space="0"/>
              <w:bottom w:val="single" w:color="000000" w:sz="4" w:space="0"/>
              <w:right w:val="single" w:color="000000" w:sz="4" w:space="0"/>
            </w:tcBorders>
            <w:vAlign w:val="center"/>
          </w:tcPr>
          <w:p w14:paraId="04DBC06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智慧用水管理系统软件</w:t>
            </w:r>
          </w:p>
        </w:tc>
        <w:tc>
          <w:tcPr>
            <w:tcW w:w="1327" w:type="pct"/>
            <w:tcBorders>
              <w:top w:val="single" w:color="000000" w:sz="4" w:space="0"/>
              <w:left w:val="single" w:color="000000" w:sz="4" w:space="0"/>
              <w:bottom w:val="single" w:color="000000" w:sz="4" w:space="0"/>
              <w:right w:val="single" w:color="000000" w:sz="4" w:space="0"/>
            </w:tcBorders>
            <w:vAlign w:val="center"/>
          </w:tcPr>
          <w:p w14:paraId="7D71C420">
            <w:pPr>
              <w:widowControl/>
              <w:jc w:val="center"/>
              <w:rPr>
                <w:rFonts w:hint="eastAsia" w:ascii="仿宋" w:hAnsi="仿宋" w:eastAsia="仿宋" w:cs="仿宋"/>
                <w:sz w:val="32"/>
                <w:szCs w:val="32"/>
              </w:rPr>
            </w:pPr>
          </w:p>
        </w:tc>
      </w:tr>
      <w:tr w14:paraId="6A0E5DEE">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BA42702">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1299" w:type="pct"/>
            <w:tcBorders>
              <w:top w:val="single" w:color="000000" w:sz="4" w:space="0"/>
              <w:left w:val="single" w:color="000000" w:sz="4" w:space="0"/>
              <w:bottom w:val="single" w:color="000000" w:sz="4" w:space="0"/>
              <w:right w:val="single" w:color="000000" w:sz="4" w:space="0"/>
            </w:tcBorders>
            <w:vAlign w:val="center"/>
          </w:tcPr>
          <w:p w14:paraId="73795396">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数据采集器</w:t>
            </w:r>
          </w:p>
        </w:tc>
        <w:tc>
          <w:tcPr>
            <w:tcW w:w="769" w:type="pct"/>
            <w:tcBorders>
              <w:top w:val="single" w:color="000000" w:sz="4" w:space="0"/>
              <w:left w:val="single" w:color="000000" w:sz="4" w:space="0"/>
              <w:bottom w:val="single" w:color="000000" w:sz="4" w:space="0"/>
              <w:right w:val="single" w:color="000000" w:sz="4" w:space="0"/>
            </w:tcBorders>
            <w:vAlign w:val="center"/>
          </w:tcPr>
          <w:p w14:paraId="108895DC">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套</w:t>
            </w:r>
          </w:p>
        </w:tc>
        <w:tc>
          <w:tcPr>
            <w:tcW w:w="941" w:type="pct"/>
            <w:tcBorders>
              <w:top w:val="single" w:color="000000" w:sz="4" w:space="0"/>
              <w:left w:val="single" w:color="000000" w:sz="4" w:space="0"/>
              <w:bottom w:val="single" w:color="000000" w:sz="4" w:space="0"/>
              <w:right w:val="single" w:color="000000" w:sz="4" w:space="0"/>
            </w:tcBorders>
            <w:vAlign w:val="center"/>
          </w:tcPr>
          <w:p w14:paraId="62E9CFD8">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w:t>
            </w:r>
          </w:p>
        </w:tc>
        <w:tc>
          <w:tcPr>
            <w:tcW w:w="1327" w:type="pct"/>
            <w:tcBorders>
              <w:top w:val="single" w:color="000000" w:sz="4" w:space="0"/>
              <w:left w:val="single" w:color="000000" w:sz="4" w:space="0"/>
              <w:bottom w:val="single" w:color="000000" w:sz="4" w:space="0"/>
              <w:right w:val="single" w:color="000000" w:sz="4" w:space="0"/>
            </w:tcBorders>
          </w:tcPr>
          <w:p w14:paraId="3ED770C7">
            <w:pPr>
              <w:widowControl/>
              <w:jc w:val="center"/>
              <w:rPr>
                <w:rFonts w:hint="eastAsia" w:ascii="仿宋" w:hAnsi="仿宋" w:eastAsia="仿宋" w:cs="仿宋"/>
                <w:sz w:val="32"/>
                <w:szCs w:val="32"/>
              </w:rPr>
            </w:pPr>
            <w:r>
              <w:rPr>
                <w:rFonts w:hint="eastAsia" w:ascii="仿宋" w:hAnsi="仿宋" w:eastAsia="仿宋" w:cs="仿宋"/>
                <w:sz w:val="32"/>
                <w:szCs w:val="32"/>
              </w:rPr>
              <w:t>满足“硬件要求”</w:t>
            </w:r>
          </w:p>
        </w:tc>
      </w:tr>
      <w:tr w14:paraId="31B48B25">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43652EB">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tc>
        <w:tc>
          <w:tcPr>
            <w:tcW w:w="1299" w:type="pct"/>
            <w:tcBorders>
              <w:top w:val="single" w:color="000000" w:sz="4" w:space="0"/>
              <w:left w:val="single" w:color="000000" w:sz="4" w:space="0"/>
              <w:bottom w:val="single" w:color="000000" w:sz="4" w:space="0"/>
              <w:right w:val="single" w:color="000000" w:sz="4" w:space="0"/>
            </w:tcBorders>
            <w:vAlign w:val="center"/>
          </w:tcPr>
          <w:p w14:paraId="7317EAF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智慧用水管理系统</w:t>
            </w:r>
          </w:p>
        </w:tc>
        <w:tc>
          <w:tcPr>
            <w:tcW w:w="769" w:type="pct"/>
            <w:tcBorders>
              <w:top w:val="single" w:color="000000" w:sz="4" w:space="0"/>
              <w:left w:val="single" w:color="000000" w:sz="4" w:space="0"/>
              <w:bottom w:val="single" w:color="000000" w:sz="4" w:space="0"/>
              <w:right w:val="single" w:color="000000" w:sz="4" w:space="0"/>
            </w:tcBorders>
            <w:vAlign w:val="center"/>
          </w:tcPr>
          <w:p w14:paraId="779D1D2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套</w:t>
            </w:r>
          </w:p>
        </w:tc>
        <w:tc>
          <w:tcPr>
            <w:tcW w:w="941" w:type="pct"/>
            <w:tcBorders>
              <w:top w:val="single" w:color="000000" w:sz="4" w:space="0"/>
              <w:left w:val="single" w:color="000000" w:sz="4" w:space="0"/>
              <w:bottom w:val="single" w:color="000000" w:sz="4" w:space="0"/>
              <w:right w:val="single" w:color="000000" w:sz="4" w:space="0"/>
            </w:tcBorders>
            <w:vAlign w:val="center"/>
          </w:tcPr>
          <w:p w14:paraId="6173654F">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1327" w:type="pct"/>
            <w:tcBorders>
              <w:top w:val="single" w:color="000000" w:sz="4" w:space="0"/>
              <w:left w:val="single" w:color="000000" w:sz="4" w:space="0"/>
              <w:bottom w:val="single" w:color="000000" w:sz="4" w:space="0"/>
              <w:right w:val="single" w:color="000000" w:sz="4" w:space="0"/>
            </w:tcBorders>
          </w:tcPr>
          <w:p w14:paraId="23027E50">
            <w:pPr>
              <w:widowControl/>
              <w:jc w:val="center"/>
              <w:textAlignment w:val="center"/>
              <w:rPr>
                <w:rFonts w:hint="eastAsia" w:ascii="仿宋" w:hAnsi="仿宋" w:eastAsia="仿宋" w:cs="仿宋"/>
                <w:sz w:val="32"/>
                <w:szCs w:val="32"/>
              </w:rPr>
            </w:pPr>
            <w:r>
              <w:rPr>
                <w:rFonts w:hint="eastAsia" w:ascii="仿宋" w:hAnsi="仿宋" w:eastAsia="仿宋" w:cs="仿宋"/>
                <w:sz w:val="32"/>
                <w:szCs w:val="32"/>
              </w:rPr>
              <w:t>满足“智慧用水管理系统定制开发要求”</w:t>
            </w:r>
          </w:p>
        </w:tc>
      </w:tr>
      <w:tr w14:paraId="7561F5D5">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764ADA3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p>
        </w:tc>
        <w:tc>
          <w:tcPr>
            <w:tcW w:w="3009" w:type="pct"/>
            <w:gridSpan w:val="3"/>
            <w:tcBorders>
              <w:top w:val="single" w:color="000000" w:sz="4" w:space="0"/>
              <w:left w:val="single" w:color="000000" w:sz="4" w:space="0"/>
              <w:bottom w:val="single" w:color="000000" w:sz="4" w:space="0"/>
              <w:right w:val="single" w:color="000000" w:sz="4" w:space="0"/>
            </w:tcBorders>
            <w:vAlign w:val="center"/>
          </w:tcPr>
          <w:p w14:paraId="30A34129">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安装&amp;调试费</w:t>
            </w:r>
          </w:p>
        </w:tc>
        <w:tc>
          <w:tcPr>
            <w:tcW w:w="1327" w:type="pct"/>
            <w:tcBorders>
              <w:top w:val="single" w:color="000000" w:sz="4" w:space="0"/>
              <w:left w:val="single" w:color="000000" w:sz="4" w:space="0"/>
              <w:bottom w:val="single" w:color="000000" w:sz="4" w:space="0"/>
              <w:right w:val="single" w:color="000000" w:sz="4" w:space="0"/>
            </w:tcBorders>
            <w:vAlign w:val="center"/>
          </w:tcPr>
          <w:p w14:paraId="0207840F">
            <w:pPr>
              <w:widowControl/>
              <w:jc w:val="center"/>
              <w:rPr>
                <w:rFonts w:hint="eastAsia" w:ascii="仿宋" w:hAnsi="仿宋" w:eastAsia="仿宋" w:cs="仿宋"/>
                <w:color w:val="000000" w:themeColor="text1"/>
                <w:sz w:val="32"/>
                <w:szCs w:val="32"/>
                <w14:textFill>
                  <w14:solidFill>
                    <w14:schemeClr w14:val="tx1"/>
                  </w14:solidFill>
                </w14:textFill>
              </w:rPr>
            </w:pPr>
          </w:p>
        </w:tc>
      </w:tr>
      <w:tr w14:paraId="7FB49E30">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A20EA09">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1299" w:type="pct"/>
            <w:tcBorders>
              <w:top w:val="single" w:color="000000" w:sz="4" w:space="0"/>
              <w:left w:val="single" w:color="000000" w:sz="4" w:space="0"/>
              <w:bottom w:val="single" w:color="000000" w:sz="4" w:space="0"/>
              <w:right w:val="single" w:color="000000" w:sz="4" w:space="0"/>
            </w:tcBorders>
            <w:vAlign w:val="center"/>
          </w:tcPr>
          <w:p w14:paraId="6BBF3D33">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施工安装费</w:t>
            </w:r>
          </w:p>
        </w:tc>
        <w:tc>
          <w:tcPr>
            <w:tcW w:w="769" w:type="pct"/>
            <w:tcBorders>
              <w:top w:val="single" w:color="000000" w:sz="4" w:space="0"/>
              <w:left w:val="single" w:color="000000" w:sz="4" w:space="0"/>
              <w:bottom w:val="single" w:color="000000" w:sz="4" w:space="0"/>
              <w:right w:val="single" w:color="000000" w:sz="4" w:space="0"/>
            </w:tcBorders>
            <w:vAlign w:val="center"/>
          </w:tcPr>
          <w:p w14:paraId="229BB6E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点位</w:t>
            </w:r>
          </w:p>
        </w:tc>
        <w:tc>
          <w:tcPr>
            <w:tcW w:w="941" w:type="pct"/>
            <w:tcBorders>
              <w:top w:val="single" w:color="000000" w:sz="4" w:space="0"/>
              <w:left w:val="single" w:color="000000" w:sz="4" w:space="0"/>
              <w:bottom w:val="single" w:color="000000" w:sz="4" w:space="0"/>
              <w:right w:val="single" w:color="000000" w:sz="4" w:space="0"/>
            </w:tcBorders>
            <w:vAlign w:val="center"/>
          </w:tcPr>
          <w:p w14:paraId="4AC39833">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11</w:t>
            </w:r>
          </w:p>
        </w:tc>
        <w:tc>
          <w:tcPr>
            <w:tcW w:w="1327" w:type="pct"/>
            <w:tcBorders>
              <w:top w:val="single" w:color="000000" w:sz="4" w:space="0"/>
              <w:left w:val="single" w:color="000000" w:sz="4" w:space="0"/>
              <w:bottom w:val="single" w:color="000000" w:sz="4" w:space="0"/>
              <w:right w:val="single" w:color="000000" w:sz="4" w:space="0"/>
            </w:tcBorders>
            <w:vAlign w:val="center"/>
          </w:tcPr>
          <w:p w14:paraId="4CB2BAC9">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p>
        </w:tc>
      </w:tr>
      <w:tr w14:paraId="310CB33C">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F258A3A">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tc>
        <w:tc>
          <w:tcPr>
            <w:tcW w:w="1299" w:type="pct"/>
            <w:tcBorders>
              <w:top w:val="single" w:color="000000" w:sz="4" w:space="0"/>
              <w:left w:val="single" w:color="000000" w:sz="4" w:space="0"/>
              <w:bottom w:val="single" w:color="000000" w:sz="4" w:space="0"/>
              <w:right w:val="single" w:color="000000" w:sz="4" w:space="0"/>
            </w:tcBorders>
            <w:vAlign w:val="center"/>
          </w:tcPr>
          <w:p w14:paraId="6E34B766">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开挖/砌井</w:t>
            </w:r>
          </w:p>
        </w:tc>
        <w:tc>
          <w:tcPr>
            <w:tcW w:w="769" w:type="pct"/>
            <w:tcBorders>
              <w:top w:val="single" w:color="000000" w:sz="4" w:space="0"/>
              <w:left w:val="single" w:color="000000" w:sz="4" w:space="0"/>
              <w:bottom w:val="single" w:color="000000" w:sz="4" w:space="0"/>
              <w:right w:val="single" w:color="000000" w:sz="4" w:space="0"/>
            </w:tcBorders>
            <w:vAlign w:val="center"/>
          </w:tcPr>
          <w:p w14:paraId="776CA635">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点位</w:t>
            </w:r>
          </w:p>
        </w:tc>
        <w:tc>
          <w:tcPr>
            <w:tcW w:w="941" w:type="pct"/>
            <w:tcBorders>
              <w:top w:val="single" w:color="000000" w:sz="4" w:space="0"/>
              <w:left w:val="single" w:color="000000" w:sz="4" w:space="0"/>
              <w:bottom w:val="single" w:color="000000" w:sz="4" w:space="0"/>
              <w:right w:val="single" w:color="000000" w:sz="4" w:space="0"/>
            </w:tcBorders>
            <w:vAlign w:val="center"/>
          </w:tcPr>
          <w:p w14:paraId="1E313DA9">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6217405A">
            <w:pPr>
              <w:widowControl/>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DN100表安装处</w:t>
            </w:r>
          </w:p>
        </w:tc>
      </w:tr>
      <w:tr w14:paraId="359586C8">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F44C5E9">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p>
        </w:tc>
        <w:tc>
          <w:tcPr>
            <w:tcW w:w="1299" w:type="pct"/>
            <w:tcBorders>
              <w:top w:val="single" w:color="000000" w:sz="4" w:space="0"/>
              <w:left w:val="single" w:color="000000" w:sz="4" w:space="0"/>
              <w:bottom w:val="single" w:color="000000" w:sz="4" w:space="0"/>
              <w:right w:val="single" w:color="000000" w:sz="4" w:space="0"/>
            </w:tcBorders>
            <w:vAlign w:val="center"/>
          </w:tcPr>
          <w:p w14:paraId="1C694F9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不锈钢采集箱</w:t>
            </w:r>
          </w:p>
        </w:tc>
        <w:tc>
          <w:tcPr>
            <w:tcW w:w="769" w:type="pct"/>
            <w:tcBorders>
              <w:top w:val="single" w:color="000000" w:sz="4" w:space="0"/>
              <w:left w:val="single" w:color="000000" w:sz="4" w:space="0"/>
              <w:bottom w:val="single" w:color="000000" w:sz="4" w:space="0"/>
              <w:right w:val="single" w:color="000000" w:sz="4" w:space="0"/>
            </w:tcBorders>
            <w:vAlign w:val="center"/>
          </w:tcPr>
          <w:p w14:paraId="0F1E31F0">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点位</w:t>
            </w:r>
          </w:p>
        </w:tc>
        <w:tc>
          <w:tcPr>
            <w:tcW w:w="941" w:type="pct"/>
            <w:tcBorders>
              <w:top w:val="single" w:color="000000" w:sz="4" w:space="0"/>
              <w:left w:val="single" w:color="000000" w:sz="4" w:space="0"/>
              <w:bottom w:val="single" w:color="000000" w:sz="4" w:space="0"/>
              <w:right w:val="single" w:color="000000" w:sz="4" w:space="0"/>
            </w:tcBorders>
            <w:vAlign w:val="center"/>
          </w:tcPr>
          <w:p w14:paraId="146E89E0">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11</w:t>
            </w:r>
          </w:p>
        </w:tc>
        <w:tc>
          <w:tcPr>
            <w:tcW w:w="1327" w:type="pct"/>
            <w:tcBorders>
              <w:top w:val="single" w:color="000000" w:sz="4" w:space="0"/>
              <w:left w:val="single" w:color="000000" w:sz="4" w:space="0"/>
              <w:bottom w:val="single" w:color="000000" w:sz="4" w:space="0"/>
              <w:right w:val="single" w:color="000000" w:sz="4" w:space="0"/>
            </w:tcBorders>
            <w:vAlign w:val="center"/>
          </w:tcPr>
          <w:p w14:paraId="6FAC0700">
            <w:pPr>
              <w:widowControl/>
              <w:jc w:val="center"/>
              <w:rPr>
                <w:rFonts w:hint="eastAsia" w:ascii="仿宋" w:hAnsi="仿宋" w:eastAsia="仿宋" w:cs="仿宋"/>
                <w:color w:val="000000" w:themeColor="text1"/>
                <w:sz w:val="32"/>
                <w:szCs w:val="32"/>
                <w14:textFill>
                  <w14:solidFill>
                    <w14:schemeClr w14:val="tx1"/>
                  </w14:solidFill>
                </w14:textFill>
              </w:rPr>
            </w:pPr>
          </w:p>
        </w:tc>
      </w:tr>
      <w:tr w14:paraId="4CC39736">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4460833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c>
          <w:tcPr>
            <w:tcW w:w="1299" w:type="pct"/>
            <w:tcBorders>
              <w:top w:val="single" w:color="000000" w:sz="4" w:space="0"/>
              <w:left w:val="single" w:color="000000" w:sz="4" w:space="0"/>
              <w:bottom w:val="single" w:color="000000" w:sz="4" w:space="0"/>
              <w:right w:val="single" w:color="000000" w:sz="4" w:space="0"/>
            </w:tcBorders>
            <w:vAlign w:val="center"/>
          </w:tcPr>
          <w:p w14:paraId="4595D527">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SIM卡</w:t>
            </w:r>
          </w:p>
        </w:tc>
        <w:tc>
          <w:tcPr>
            <w:tcW w:w="769" w:type="pct"/>
            <w:tcBorders>
              <w:top w:val="single" w:color="000000" w:sz="4" w:space="0"/>
              <w:left w:val="single" w:color="000000" w:sz="4" w:space="0"/>
              <w:bottom w:val="single" w:color="000000" w:sz="4" w:space="0"/>
              <w:right w:val="single" w:color="000000" w:sz="4" w:space="0"/>
            </w:tcBorders>
            <w:vAlign w:val="center"/>
          </w:tcPr>
          <w:p w14:paraId="201F17A8">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张</w:t>
            </w:r>
          </w:p>
        </w:tc>
        <w:tc>
          <w:tcPr>
            <w:tcW w:w="941" w:type="pct"/>
            <w:tcBorders>
              <w:top w:val="single" w:color="000000" w:sz="4" w:space="0"/>
              <w:left w:val="single" w:color="000000" w:sz="4" w:space="0"/>
              <w:bottom w:val="single" w:color="000000" w:sz="4" w:space="0"/>
              <w:right w:val="single" w:color="000000" w:sz="4" w:space="0"/>
            </w:tcBorders>
            <w:vAlign w:val="center"/>
          </w:tcPr>
          <w:p w14:paraId="63DB3D61">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11</w:t>
            </w:r>
          </w:p>
        </w:tc>
        <w:tc>
          <w:tcPr>
            <w:tcW w:w="1327" w:type="pct"/>
            <w:tcBorders>
              <w:top w:val="single" w:color="000000" w:sz="4" w:space="0"/>
              <w:left w:val="single" w:color="000000" w:sz="4" w:space="0"/>
              <w:bottom w:val="single" w:color="000000" w:sz="4" w:space="0"/>
              <w:right w:val="single" w:color="000000" w:sz="4" w:space="0"/>
            </w:tcBorders>
            <w:vAlign w:val="center"/>
          </w:tcPr>
          <w:p w14:paraId="6CCE98AA">
            <w:pPr>
              <w:widowControl/>
              <w:jc w:val="center"/>
              <w:rPr>
                <w:rFonts w:hint="eastAsia" w:ascii="仿宋" w:hAnsi="仿宋" w:eastAsia="仿宋" w:cs="仿宋"/>
                <w:color w:val="000000" w:themeColor="text1"/>
                <w:sz w:val="32"/>
                <w:szCs w:val="32"/>
                <w14:textFill>
                  <w14:solidFill>
                    <w14:schemeClr w14:val="tx1"/>
                  </w14:solidFill>
                </w14:textFill>
              </w:rPr>
            </w:pPr>
          </w:p>
        </w:tc>
      </w:tr>
      <w:tr w14:paraId="1531D7F2">
        <w:tblPrEx>
          <w:tblCellMar>
            <w:top w:w="0" w:type="dxa"/>
            <w:left w:w="108" w:type="dxa"/>
            <w:bottom w:w="0" w:type="dxa"/>
            <w:right w:w="108" w:type="dxa"/>
          </w:tblCellMar>
        </w:tblPrEx>
        <w:trPr>
          <w:trHeight w:val="91" w:hRule="atLeast"/>
        </w:trPr>
        <w:tc>
          <w:tcPr>
            <w:tcW w:w="664" w:type="pct"/>
            <w:tcBorders>
              <w:top w:val="single" w:color="000000" w:sz="4" w:space="0"/>
              <w:left w:val="single" w:color="000000" w:sz="4" w:space="0"/>
              <w:bottom w:val="single" w:color="000000" w:sz="4" w:space="0"/>
              <w:right w:val="single" w:color="000000" w:sz="4" w:space="0"/>
            </w:tcBorders>
            <w:vAlign w:val="center"/>
          </w:tcPr>
          <w:p w14:paraId="068CCA5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p>
        </w:tc>
        <w:tc>
          <w:tcPr>
            <w:tcW w:w="1299" w:type="pct"/>
            <w:tcBorders>
              <w:top w:val="single" w:color="000000" w:sz="4" w:space="0"/>
              <w:left w:val="single" w:color="000000" w:sz="4" w:space="0"/>
              <w:bottom w:val="single" w:color="000000" w:sz="4" w:space="0"/>
              <w:right w:val="single" w:color="000000" w:sz="4" w:space="0"/>
            </w:tcBorders>
            <w:vAlign w:val="center"/>
          </w:tcPr>
          <w:p w14:paraId="623BF9CC">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辅材&amp;措施费</w:t>
            </w:r>
          </w:p>
        </w:tc>
        <w:tc>
          <w:tcPr>
            <w:tcW w:w="769" w:type="pct"/>
            <w:tcBorders>
              <w:top w:val="single" w:color="000000" w:sz="4" w:space="0"/>
              <w:left w:val="single" w:color="000000" w:sz="4" w:space="0"/>
              <w:bottom w:val="single" w:color="000000" w:sz="4" w:space="0"/>
              <w:right w:val="single" w:color="000000" w:sz="4" w:space="0"/>
            </w:tcBorders>
            <w:vAlign w:val="center"/>
          </w:tcPr>
          <w:p w14:paraId="31EAE0CD">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w:t>
            </w:r>
          </w:p>
        </w:tc>
        <w:tc>
          <w:tcPr>
            <w:tcW w:w="941" w:type="pct"/>
            <w:tcBorders>
              <w:top w:val="single" w:color="000000" w:sz="4" w:space="0"/>
              <w:left w:val="single" w:color="000000" w:sz="4" w:space="0"/>
              <w:bottom w:val="single" w:color="000000" w:sz="4" w:space="0"/>
              <w:right w:val="single" w:color="000000" w:sz="4" w:space="0"/>
            </w:tcBorders>
            <w:vAlign w:val="center"/>
          </w:tcPr>
          <w:p w14:paraId="1ABEDC36">
            <w:pPr>
              <w:widowControl/>
              <w:jc w:val="center"/>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2712BEE3">
            <w:pPr>
              <w:widowControl/>
              <w:jc w:val="center"/>
              <w:rPr>
                <w:rFonts w:hint="eastAsia" w:ascii="仿宋" w:hAnsi="仿宋" w:eastAsia="仿宋" w:cs="仿宋"/>
                <w:color w:val="000000" w:themeColor="text1"/>
                <w:sz w:val="32"/>
                <w:szCs w:val="32"/>
                <w14:textFill>
                  <w14:solidFill>
                    <w14:schemeClr w14:val="tx1"/>
                  </w14:solidFill>
                </w14:textFill>
              </w:rPr>
            </w:pPr>
          </w:p>
        </w:tc>
      </w:tr>
    </w:tbl>
    <w:p w14:paraId="52E3BBFF">
      <w:pPr>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备注：此清单为主要设备，本项目是系统工程，表中除已列出的系统主要设备材料外，供应商需提供系统的必要其他设备、部件及与之相关的所有人工、辅材、机械等费用投入，以便形成系统工程。</w:t>
      </w:r>
    </w:p>
    <w:p w14:paraId="05B01A74">
      <w:pPr>
        <w:pStyle w:val="3"/>
        <w:numPr>
          <w:ilvl w:val="0"/>
          <w:numId w:val="0"/>
        </w:numPr>
        <w:ind w:left="862"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技术需求</w:t>
      </w:r>
    </w:p>
    <w:p w14:paraId="4FF38E6F">
      <w:pPr>
        <w:pStyle w:val="5"/>
        <w:spacing w:after="0" w:line="360" w:lineRule="auto"/>
        <w:ind w:firstLine="442"/>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（一）标准规范</w:t>
      </w:r>
    </w:p>
    <w:p w14:paraId="4DAC1E4D">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《国家节水行动方案》发改环资规〔2019〕695号</w:t>
      </w:r>
    </w:p>
    <w:p w14:paraId="5F1351FA">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pacing w:val="-6"/>
          <w:sz w:val="32"/>
          <w:szCs w:val="32"/>
          <w14:textFill>
            <w14:solidFill>
              <w14:schemeClr w14:val="tx1"/>
            </w14:solidFill>
          </w14:textFill>
        </w:rPr>
        <w:t>关于推行合同节水管理促进节水服务产业发展的意见</w:t>
      </w:r>
      <w:r>
        <w:rPr>
          <w:rFonts w:hint="eastAsia" w:ascii="仿宋" w:hAnsi="仿宋" w:eastAsia="仿宋" w:cs="仿宋"/>
          <w:color w:val="000000" w:themeColor="text1"/>
          <w:sz w:val="32"/>
          <w:szCs w:val="32"/>
          <w14:textFill>
            <w14:solidFill>
              <w14:schemeClr w14:val="tx1"/>
            </w14:solidFill>
          </w14:textFill>
        </w:rPr>
        <w:t>》发改环资〔2016〕1629号</w:t>
      </w:r>
    </w:p>
    <w:p w14:paraId="033CD424">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《上海市节水行动实施方案》沪水务〔2019〕1394号</w:t>
      </w:r>
    </w:p>
    <w:p w14:paraId="4FA32745">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《上海市用水定额（试行）》沪水务〔2019〕1408号</w:t>
      </w:r>
    </w:p>
    <w:p w14:paraId="76420BBB">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《水平衡测试通则》GB/T 12452-2022</w:t>
      </w:r>
    </w:p>
    <w:p w14:paraId="5EC8FFAA">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《用水单位水计量器具配备和管理通则》GB/T 24789-2022</w:t>
      </w:r>
    </w:p>
    <w:p w14:paraId="60050AFA">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《饮用冷水水表和热水水表》GB/T 778-2018</w:t>
      </w:r>
    </w:p>
    <w:p w14:paraId="3C82FA14">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《节能监测技术通则》GB/T 15316-2009</w:t>
      </w:r>
    </w:p>
    <w:p w14:paraId="07C0A244">
      <w:pPr>
        <w:pStyle w:val="5"/>
        <w:spacing w:after="0"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《电子远传水表》CJ/T 224-2012</w:t>
      </w:r>
    </w:p>
    <w:p w14:paraId="041DCBBF">
      <w:pPr>
        <w:pStyle w:val="5"/>
        <w:spacing w:after="0" w:line="360" w:lineRule="auto"/>
        <w:ind w:firstLine="442"/>
        <w:rPr>
          <w:rFonts w:hint="eastAsia" w:ascii="仿宋" w:hAnsi="仿宋" w:eastAsia="仿宋" w:cs="仿宋"/>
          <w:b/>
          <w:bCs/>
          <w:color w:val="000000" w:themeColor="text1"/>
          <w:sz w:val="32"/>
          <w:szCs w:val="32"/>
          <w14:textFill>
            <w14:solidFill>
              <w14:schemeClr w14:val="tx1"/>
            </w14:solidFill>
          </w14:textFill>
        </w:rPr>
      </w:pPr>
      <w:bookmarkStart w:id="7" w:name="_Toc32401938"/>
      <w:r>
        <w:rPr>
          <w:rFonts w:hint="eastAsia" w:ascii="仿宋" w:hAnsi="仿宋" w:eastAsia="仿宋" w:cs="仿宋"/>
          <w:b/>
          <w:bCs/>
          <w:color w:val="000000" w:themeColor="text1"/>
          <w:sz w:val="32"/>
          <w:szCs w:val="32"/>
          <w14:textFill>
            <w14:solidFill>
              <w14:schemeClr w14:val="tx1"/>
            </w14:solidFill>
          </w14:textFill>
        </w:rPr>
        <w:t>（二）硬件要求</w:t>
      </w:r>
    </w:p>
    <w:p w14:paraId="061E04FB">
      <w:pPr>
        <w:adjustRightInd w:val="0"/>
        <w:snapToGrid w:val="0"/>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 水表技术要求</w:t>
      </w:r>
    </w:p>
    <w:p w14:paraId="48B1B333">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bookmarkStart w:id="8" w:name="_Toc414906447"/>
      <w:r>
        <w:rPr>
          <w:rFonts w:hint="eastAsia" w:ascii="仿宋" w:hAnsi="仿宋" w:eastAsia="仿宋" w:cs="仿宋"/>
          <w:color w:val="000000" w:themeColor="text1"/>
          <w:sz w:val="32"/>
          <w:szCs w:val="32"/>
          <w14:textFill>
            <w14:solidFill>
              <w14:schemeClr w14:val="tx1"/>
            </w14:solidFill>
          </w14:textFill>
        </w:rPr>
        <w:t>口径：DN40-300以型式批准证书为准；</w:t>
      </w:r>
    </w:p>
    <w:p w14:paraId="64349733">
      <w:pPr>
        <w:adjustRightInd w:val="0"/>
        <w:snapToGrid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智能远传水表精度满足或优于2级表，R值≥160，各口径标段对应的流量点应满足或优于下表中的参数要求：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8"/>
        <w:gridCol w:w="1695"/>
        <w:gridCol w:w="1701"/>
        <w:gridCol w:w="1418"/>
      </w:tblGrid>
      <w:tr w14:paraId="1DFB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01" w:type="dxa"/>
            <w:vAlign w:val="center"/>
          </w:tcPr>
          <w:p w14:paraId="50995A0A">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水表口径</w:t>
            </w:r>
          </w:p>
          <w:p w14:paraId="26201BA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（mm）</w:t>
            </w:r>
          </w:p>
        </w:tc>
        <w:tc>
          <w:tcPr>
            <w:tcW w:w="1418" w:type="dxa"/>
            <w:vAlign w:val="center"/>
          </w:tcPr>
          <w:p w14:paraId="38D1D6B2">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过载流量Q4</w:t>
            </w:r>
          </w:p>
          <w:p w14:paraId="65263C42">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(m³/h)</w:t>
            </w:r>
          </w:p>
        </w:tc>
        <w:tc>
          <w:tcPr>
            <w:tcW w:w="1695" w:type="dxa"/>
            <w:vAlign w:val="center"/>
          </w:tcPr>
          <w:p w14:paraId="06E2A8C4">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常用流量Q3≥</w:t>
            </w:r>
          </w:p>
          <w:p w14:paraId="40711330">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(m³/h)</w:t>
            </w:r>
          </w:p>
        </w:tc>
        <w:tc>
          <w:tcPr>
            <w:tcW w:w="1701" w:type="dxa"/>
            <w:vAlign w:val="center"/>
          </w:tcPr>
          <w:p w14:paraId="4CF9E3D1">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分界流量Q2</w:t>
            </w:r>
          </w:p>
          <w:p w14:paraId="29A5986D">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(m³/h)</w:t>
            </w:r>
          </w:p>
        </w:tc>
        <w:tc>
          <w:tcPr>
            <w:tcW w:w="1418" w:type="dxa"/>
            <w:vAlign w:val="center"/>
          </w:tcPr>
          <w:p w14:paraId="50D55CB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最小流量Q1≤</w:t>
            </w:r>
          </w:p>
          <w:p w14:paraId="2452F7D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(m³/h)</w:t>
            </w:r>
          </w:p>
        </w:tc>
      </w:tr>
      <w:tr w14:paraId="2BD9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01" w:type="dxa"/>
            <w:vAlign w:val="center"/>
          </w:tcPr>
          <w:p w14:paraId="4CD6F3C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40</w:t>
            </w:r>
          </w:p>
        </w:tc>
        <w:tc>
          <w:tcPr>
            <w:tcW w:w="1418" w:type="dxa"/>
            <w:vAlign w:val="center"/>
          </w:tcPr>
          <w:p w14:paraId="6D53835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31.25</w:t>
            </w:r>
          </w:p>
        </w:tc>
        <w:tc>
          <w:tcPr>
            <w:tcW w:w="1695" w:type="dxa"/>
            <w:vAlign w:val="center"/>
          </w:tcPr>
          <w:p w14:paraId="37E39812">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25</w:t>
            </w:r>
          </w:p>
        </w:tc>
        <w:tc>
          <w:tcPr>
            <w:tcW w:w="1701" w:type="dxa"/>
            <w:vAlign w:val="center"/>
          </w:tcPr>
          <w:p w14:paraId="314DCC2C">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0.25</w:t>
            </w:r>
          </w:p>
        </w:tc>
        <w:tc>
          <w:tcPr>
            <w:tcW w:w="1418" w:type="dxa"/>
            <w:vAlign w:val="center"/>
          </w:tcPr>
          <w:p w14:paraId="109E8177">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0.16</w:t>
            </w:r>
          </w:p>
        </w:tc>
      </w:tr>
      <w:tr w14:paraId="781B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4D116E95">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50</w:t>
            </w:r>
          </w:p>
        </w:tc>
        <w:tc>
          <w:tcPr>
            <w:tcW w:w="1418" w:type="dxa"/>
            <w:vAlign w:val="center"/>
          </w:tcPr>
          <w:p w14:paraId="30CC2744">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50</w:t>
            </w:r>
          </w:p>
        </w:tc>
        <w:tc>
          <w:tcPr>
            <w:tcW w:w="1695" w:type="dxa"/>
            <w:vAlign w:val="center"/>
          </w:tcPr>
          <w:p w14:paraId="230B2D14">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40</w:t>
            </w:r>
          </w:p>
        </w:tc>
        <w:tc>
          <w:tcPr>
            <w:tcW w:w="1701" w:type="dxa"/>
            <w:vAlign w:val="center"/>
          </w:tcPr>
          <w:p w14:paraId="7ECD15C7">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0.4</w:t>
            </w:r>
          </w:p>
        </w:tc>
        <w:tc>
          <w:tcPr>
            <w:tcW w:w="1418" w:type="dxa"/>
            <w:vAlign w:val="center"/>
          </w:tcPr>
          <w:p w14:paraId="1CC9785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0.25</w:t>
            </w:r>
          </w:p>
        </w:tc>
      </w:tr>
      <w:tr w14:paraId="13D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50E6E17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80</w:t>
            </w:r>
          </w:p>
        </w:tc>
        <w:tc>
          <w:tcPr>
            <w:tcW w:w="1418" w:type="dxa"/>
            <w:vAlign w:val="center"/>
          </w:tcPr>
          <w:p w14:paraId="4465126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125</w:t>
            </w:r>
          </w:p>
        </w:tc>
        <w:tc>
          <w:tcPr>
            <w:tcW w:w="1695" w:type="dxa"/>
            <w:vAlign w:val="center"/>
          </w:tcPr>
          <w:p w14:paraId="7480211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100</w:t>
            </w:r>
          </w:p>
        </w:tc>
        <w:tc>
          <w:tcPr>
            <w:tcW w:w="1701" w:type="dxa"/>
            <w:vAlign w:val="center"/>
          </w:tcPr>
          <w:p w14:paraId="7282F647">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1418" w:type="dxa"/>
            <w:vAlign w:val="center"/>
          </w:tcPr>
          <w:p w14:paraId="252EEA2C">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0.63</w:t>
            </w:r>
          </w:p>
        </w:tc>
      </w:tr>
      <w:tr w14:paraId="7C84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3902B7B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100</w:t>
            </w:r>
          </w:p>
        </w:tc>
        <w:tc>
          <w:tcPr>
            <w:tcW w:w="1418" w:type="dxa"/>
            <w:vAlign w:val="center"/>
          </w:tcPr>
          <w:p w14:paraId="384F46F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w:t>
            </w:r>
          </w:p>
        </w:tc>
        <w:tc>
          <w:tcPr>
            <w:tcW w:w="1695" w:type="dxa"/>
            <w:vAlign w:val="center"/>
          </w:tcPr>
          <w:p w14:paraId="546351B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160</w:t>
            </w:r>
          </w:p>
        </w:tc>
        <w:tc>
          <w:tcPr>
            <w:tcW w:w="1701" w:type="dxa"/>
            <w:vAlign w:val="center"/>
          </w:tcPr>
          <w:p w14:paraId="0143CD34">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1.6</w:t>
            </w:r>
          </w:p>
        </w:tc>
        <w:tc>
          <w:tcPr>
            <w:tcW w:w="1418" w:type="dxa"/>
            <w:vAlign w:val="center"/>
          </w:tcPr>
          <w:p w14:paraId="2123FBF0">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r>
      <w:tr w14:paraId="3797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149B7283">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150</w:t>
            </w:r>
          </w:p>
        </w:tc>
        <w:tc>
          <w:tcPr>
            <w:tcW w:w="1418" w:type="dxa"/>
            <w:vAlign w:val="center"/>
          </w:tcPr>
          <w:p w14:paraId="2A84D8F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500</w:t>
            </w:r>
          </w:p>
        </w:tc>
        <w:tc>
          <w:tcPr>
            <w:tcW w:w="1695" w:type="dxa"/>
            <w:vAlign w:val="center"/>
          </w:tcPr>
          <w:p w14:paraId="4585541A">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400</w:t>
            </w:r>
          </w:p>
        </w:tc>
        <w:tc>
          <w:tcPr>
            <w:tcW w:w="1701" w:type="dxa"/>
            <w:vAlign w:val="center"/>
          </w:tcPr>
          <w:p w14:paraId="26F83C65">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c>
          <w:tcPr>
            <w:tcW w:w="1418" w:type="dxa"/>
            <w:vAlign w:val="center"/>
          </w:tcPr>
          <w:p w14:paraId="1C31A518">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2.5</w:t>
            </w:r>
          </w:p>
        </w:tc>
      </w:tr>
      <w:tr w14:paraId="62F1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3F55C15F">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w:t>
            </w:r>
          </w:p>
        </w:tc>
        <w:tc>
          <w:tcPr>
            <w:tcW w:w="1418" w:type="dxa"/>
            <w:vAlign w:val="center"/>
          </w:tcPr>
          <w:p w14:paraId="57E8365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787.5</w:t>
            </w:r>
          </w:p>
        </w:tc>
        <w:tc>
          <w:tcPr>
            <w:tcW w:w="1695" w:type="dxa"/>
            <w:vAlign w:val="center"/>
          </w:tcPr>
          <w:p w14:paraId="0279D033">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630</w:t>
            </w:r>
          </w:p>
        </w:tc>
        <w:tc>
          <w:tcPr>
            <w:tcW w:w="1701" w:type="dxa"/>
            <w:vAlign w:val="center"/>
          </w:tcPr>
          <w:p w14:paraId="1634DC2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6.3</w:t>
            </w:r>
          </w:p>
        </w:tc>
        <w:tc>
          <w:tcPr>
            <w:tcW w:w="1418" w:type="dxa"/>
            <w:vAlign w:val="center"/>
          </w:tcPr>
          <w:p w14:paraId="04EF147A">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r>
      <w:tr w14:paraId="60FC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59A283E1">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250</w:t>
            </w:r>
          </w:p>
        </w:tc>
        <w:tc>
          <w:tcPr>
            <w:tcW w:w="1418" w:type="dxa"/>
            <w:vAlign w:val="center"/>
          </w:tcPr>
          <w:p w14:paraId="4AAA2EA5">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1250</w:t>
            </w:r>
          </w:p>
        </w:tc>
        <w:tc>
          <w:tcPr>
            <w:tcW w:w="1695" w:type="dxa"/>
            <w:vAlign w:val="center"/>
          </w:tcPr>
          <w:p w14:paraId="7DCC5CF5">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1000</w:t>
            </w:r>
          </w:p>
        </w:tc>
        <w:tc>
          <w:tcPr>
            <w:tcW w:w="1701" w:type="dxa"/>
            <w:vAlign w:val="center"/>
          </w:tcPr>
          <w:p w14:paraId="24172E3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w:t>
            </w:r>
          </w:p>
        </w:tc>
        <w:tc>
          <w:tcPr>
            <w:tcW w:w="1418" w:type="dxa"/>
            <w:vAlign w:val="center"/>
          </w:tcPr>
          <w:p w14:paraId="28550711">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6.3</w:t>
            </w:r>
          </w:p>
        </w:tc>
      </w:tr>
      <w:tr w14:paraId="6230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6030353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300</w:t>
            </w:r>
          </w:p>
        </w:tc>
        <w:tc>
          <w:tcPr>
            <w:tcW w:w="1418" w:type="dxa"/>
            <w:vAlign w:val="center"/>
          </w:tcPr>
          <w:p w14:paraId="3476AB9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2000</w:t>
            </w:r>
          </w:p>
        </w:tc>
        <w:tc>
          <w:tcPr>
            <w:tcW w:w="1695" w:type="dxa"/>
            <w:vAlign w:val="center"/>
          </w:tcPr>
          <w:p w14:paraId="47A2930E">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1600</w:t>
            </w:r>
          </w:p>
        </w:tc>
        <w:tc>
          <w:tcPr>
            <w:tcW w:w="1701" w:type="dxa"/>
            <w:vAlign w:val="center"/>
          </w:tcPr>
          <w:p w14:paraId="42F064F1">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16</w:t>
            </w:r>
          </w:p>
        </w:tc>
        <w:tc>
          <w:tcPr>
            <w:tcW w:w="1418" w:type="dxa"/>
            <w:vAlign w:val="center"/>
          </w:tcPr>
          <w:p w14:paraId="1B5D37C3">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w:t>
            </w:r>
          </w:p>
        </w:tc>
      </w:tr>
    </w:tbl>
    <w:p w14:paraId="0A49330A">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Q2/Q1＝1.6；</w:t>
      </w:r>
    </w:p>
    <w:p w14:paraId="3537BF6E">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压力损失：满足或优于△p63，（△p63 即最大压力损失△p≤0.063 MPa）；</w:t>
      </w:r>
    </w:p>
    <w:p w14:paraId="36B7ACAA">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工作压力：≥1MPa，即承压件应保证在≥1MPa水压下长期安全工作，不产生泄漏；</w:t>
      </w:r>
    </w:p>
    <w:p w14:paraId="3F67B718">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工作水温等级：≥T50；</w:t>
      </w:r>
    </w:p>
    <w:p w14:paraId="08E7FC8C">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信号输出：要求4G 远传功能，并传输到指定平台；</w:t>
      </w:r>
    </w:p>
    <w:p w14:paraId="46D03EC1">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材质材料要求：转换器应采用防腐机壳，衬里采用橡胶，且具有防水IP68；</w:t>
      </w:r>
    </w:p>
    <w:p w14:paraId="3E045F49">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供电：产品应采用内置锂电池供电，计量与通讯电池分别供电，6小时发送一次的前提下，整机电池寿命保障5年及以上电池寿命不低于五年；</w:t>
      </w:r>
    </w:p>
    <w:p w14:paraId="48C83FF2">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防护等级：整机防水等级要求满或优于足IP68；</w:t>
      </w:r>
    </w:p>
    <w:p w14:paraId="454A0B3E">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数据存储：水表应能存储4年以上的数据，断电或电量耗尽保护，掉电（失电）时水表自动保存累计读数及设定参数保存不变，方便现场及时维护或更换</w:t>
      </w:r>
      <w:bookmarkEnd w:id="8"/>
      <w:r>
        <w:rPr>
          <w:rFonts w:hint="eastAsia" w:ascii="仿宋" w:hAnsi="仿宋" w:eastAsia="仿宋" w:cs="仿宋"/>
          <w:color w:val="000000" w:themeColor="text1"/>
          <w:sz w:val="32"/>
          <w:szCs w:val="32"/>
          <w14:textFill>
            <w14:solidFill>
              <w14:schemeClr w14:val="tx1"/>
            </w14:solidFill>
          </w14:textFill>
        </w:rPr>
        <w:t>；</w:t>
      </w:r>
    </w:p>
    <w:p w14:paraId="449E2BAE">
      <w:pPr>
        <w:numPr>
          <w:ilvl w:val="0"/>
          <w:numId w:val="2"/>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模块内部应自带存储器，可记录水表读数，具有反向累计流量。</w:t>
      </w:r>
    </w:p>
    <w:p w14:paraId="02FE8A1B">
      <w:pPr>
        <w:pStyle w:val="13"/>
        <w:numPr>
          <w:ilvl w:val="0"/>
          <w:numId w:val="3"/>
        </w:numPr>
        <w:spacing w:line="360" w:lineRule="auto"/>
        <w:ind w:firstLine="442"/>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数据采集器技术要求</w:t>
      </w:r>
    </w:p>
    <w:p w14:paraId="7A04E3C1">
      <w:pPr>
        <w:adjustRightInd w:val="0"/>
        <w:snapToGrid w:val="0"/>
        <w:spacing w:line="360" w:lineRule="auto"/>
        <w:ind w:left="480" w:left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数据采集器应满足或优于以下技术要求：</w:t>
      </w:r>
    </w:p>
    <w:p w14:paraId="28A25AED">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集成高频传感器；利用无磁传感技术，无负载感应式扫描水表指针，不影响水表计量；</w:t>
      </w:r>
    </w:p>
    <w:p w14:paraId="77871195">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采用4G数据传输方案；</w:t>
      </w:r>
    </w:p>
    <w:p w14:paraId="13BA7904">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通过红外软件设置参数；</w:t>
      </w:r>
    </w:p>
    <w:p w14:paraId="73C159E7">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可识别水流正反向；</w:t>
      </w:r>
    </w:p>
    <w:p w14:paraId="5BA2EFBF">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IP地址、底度等参数可设置；</w:t>
      </w:r>
    </w:p>
    <w:p w14:paraId="14D463E8">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具有过流报警和低电压报警功能；</w:t>
      </w:r>
    </w:p>
    <w:p w14:paraId="330975E0">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每日周期上报数据，具有自动补包功能；</w:t>
      </w:r>
    </w:p>
    <w:p w14:paraId="0CFBEDDE">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电池设计使用寿命5年；</w:t>
      </w:r>
    </w:p>
    <w:p w14:paraId="37E108CF">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防护等级：IP 68。</w:t>
      </w:r>
    </w:p>
    <w:p w14:paraId="4F1BB8A7">
      <w:pPr>
        <w:numPr>
          <w:ilvl w:val="0"/>
          <w:numId w:val="4"/>
        </w:numPr>
        <w:adjustRightInd w:val="0"/>
        <w:snapToGrid w:val="0"/>
        <w:spacing w:line="360" w:lineRule="auto"/>
        <w:ind w:left="0" w:firstLine="617" w:firstLineChars="193"/>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供电电压：一次性锂电池组(3.6V)</w:t>
      </w:r>
    </w:p>
    <w:p w14:paraId="7587B522">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通信方式：4G</w:t>
      </w:r>
    </w:p>
    <w:p w14:paraId="40B82CF6">
      <w:pPr>
        <w:numPr>
          <w:ilvl w:val="0"/>
          <w:numId w:val="4"/>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相对湿度：95%(无凝结)</w:t>
      </w:r>
    </w:p>
    <w:bookmarkEnd w:id="7"/>
    <w:p w14:paraId="74A1ACFC">
      <w:pPr>
        <w:pStyle w:val="5"/>
        <w:spacing w:after="0" w:line="360" w:lineRule="auto"/>
        <w:ind w:firstLine="442"/>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（三）智慧用水管理系统定制开发要求</w:t>
      </w:r>
    </w:p>
    <w:p w14:paraId="797634A8">
      <w:pPr>
        <w:pStyle w:val="13"/>
        <w:spacing w:line="360" w:lineRule="auto"/>
        <w:ind w:firstLine="442"/>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 供应商特定资质要求</w:t>
      </w:r>
    </w:p>
    <w:p w14:paraId="46CF0DA3">
      <w:pPr>
        <w:spacing w:before="98" w:line="360" w:lineRule="auto"/>
        <w:ind w:left="38" w:firstLine="640" w:firstLineChars="200"/>
        <w:outlineLvl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要求供应商对系统具有自主知识产权，并具备中华人民共和国国家知识产权局颁发的与本项目相关的计算机软件著作权登记证书。</w:t>
      </w:r>
    </w:p>
    <w:p w14:paraId="104B02C1">
      <w:pPr>
        <w:pStyle w:val="13"/>
        <w:numPr>
          <w:ilvl w:val="0"/>
          <w:numId w:val="0"/>
        </w:num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系统设计要求</w:t>
      </w:r>
    </w:p>
    <w:p w14:paraId="28B5661B">
      <w:pPr>
        <w:spacing w:before="98" w:line="360" w:lineRule="auto"/>
        <w:ind w:left="38" w:firstLine="640" w:firstLineChars="200"/>
        <w:outlineLvl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要求供应商对以下几点作出说明，包括但不限于：</w:t>
      </w:r>
    </w:p>
    <w:p w14:paraId="521AD1EE">
      <w:pPr>
        <w:numPr>
          <w:ilvl w:val="0"/>
          <w:numId w:val="5"/>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先进性：系统应用当今先进的物联网等技术，同时采用基于物联网构架的综合信息系统集成管理平台，使各种不同的监测设备能无缝的接入平台，组成一个完整的智能水务管理系统。</w:t>
      </w:r>
    </w:p>
    <w:p w14:paraId="69F4732C">
      <w:pPr>
        <w:numPr>
          <w:ilvl w:val="0"/>
          <w:numId w:val="5"/>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bookmarkStart w:id="9" w:name="bookmark19"/>
      <w:bookmarkEnd w:id="9"/>
      <w:r>
        <w:rPr>
          <w:rFonts w:hint="eastAsia" w:ascii="仿宋" w:hAnsi="仿宋" w:eastAsia="仿宋" w:cs="仿宋"/>
          <w:color w:val="000000" w:themeColor="text1"/>
          <w:sz w:val="32"/>
          <w:szCs w:val="32"/>
          <w14:textFill>
            <w14:solidFill>
              <w14:schemeClr w14:val="tx1"/>
            </w14:solidFill>
          </w14:textFill>
        </w:rPr>
        <w:t>标准化：系统采用开放式的系统架构，智能水务管理系统能提供通用标准的接口，使其易与其他系统实现接口连接，并支持第三方应用产品的开发和使用；支持后续其他品牌智能电表数据接入。</w:t>
      </w:r>
    </w:p>
    <w:p w14:paraId="61F34569">
      <w:pPr>
        <w:numPr>
          <w:ilvl w:val="0"/>
          <w:numId w:val="5"/>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bookmarkStart w:id="10" w:name="bookmark20"/>
      <w:bookmarkEnd w:id="10"/>
      <w:r>
        <w:rPr>
          <w:rFonts w:hint="eastAsia" w:ascii="仿宋" w:hAnsi="仿宋" w:eastAsia="仿宋" w:cs="仿宋"/>
          <w:color w:val="000000" w:themeColor="text1"/>
          <w:sz w:val="32"/>
          <w:szCs w:val="32"/>
          <w14:textFill>
            <w14:solidFill>
              <w14:schemeClr w14:val="tx1"/>
            </w14:solidFill>
          </w14:textFill>
        </w:rPr>
        <w:t>系统的可用性：系统中的任一设备损坏或遭人为破坏后，系统主体功能将不会受到影响，同时系统将自动上报相应的故障信息，使用户在第一时间了解现场设备状况，及时应对。</w:t>
      </w:r>
    </w:p>
    <w:p w14:paraId="4CBAB299">
      <w:pPr>
        <w:numPr>
          <w:ilvl w:val="0"/>
          <w:numId w:val="5"/>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bookmarkStart w:id="11" w:name="bookmark21"/>
      <w:bookmarkEnd w:id="11"/>
      <w:r>
        <w:rPr>
          <w:rFonts w:hint="eastAsia" w:ascii="仿宋" w:hAnsi="仿宋" w:eastAsia="仿宋" w:cs="仿宋"/>
          <w:color w:val="000000" w:themeColor="text1"/>
          <w:sz w:val="32"/>
          <w:szCs w:val="32"/>
          <w14:textFill>
            <w14:solidFill>
              <w14:schemeClr w14:val="tx1"/>
            </w14:solidFill>
          </w14:textFill>
        </w:rPr>
        <w:t>稳定可靠性：系统能每天正常工作24小时，每年运转365天，所有设备具有高度的可靠性和优良的性能。</w:t>
      </w:r>
    </w:p>
    <w:p w14:paraId="31626F2D">
      <w:pPr>
        <w:numPr>
          <w:ilvl w:val="0"/>
          <w:numId w:val="5"/>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bookmarkStart w:id="12" w:name="bookmark22"/>
      <w:bookmarkEnd w:id="12"/>
      <w:r>
        <w:rPr>
          <w:rFonts w:hint="eastAsia" w:ascii="仿宋" w:hAnsi="仿宋" w:eastAsia="仿宋" w:cs="仿宋"/>
          <w:color w:val="000000" w:themeColor="text1"/>
          <w:sz w:val="32"/>
          <w:szCs w:val="32"/>
          <w14:textFill>
            <w14:solidFill>
              <w14:schemeClr w14:val="tx1"/>
            </w14:solidFill>
          </w14:textFill>
        </w:rPr>
        <w:t>可维护性：平台可设置数据间隔时间，添加、删除、修改点位，查询点位监测的基本流量数值，分析水量数据等操作。</w:t>
      </w:r>
    </w:p>
    <w:p w14:paraId="284FD1CA">
      <w:pPr>
        <w:numPr>
          <w:ilvl w:val="0"/>
          <w:numId w:val="5"/>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bookmarkStart w:id="13" w:name="bookmark23"/>
      <w:bookmarkEnd w:id="13"/>
      <w:r>
        <w:rPr>
          <w:rFonts w:hint="eastAsia" w:ascii="仿宋" w:hAnsi="仿宋" w:eastAsia="仿宋" w:cs="仿宋"/>
          <w:color w:val="000000" w:themeColor="text1"/>
          <w:sz w:val="32"/>
          <w:szCs w:val="32"/>
          <w14:textFill>
            <w14:solidFill>
              <w14:schemeClr w14:val="tx1"/>
            </w14:solidFill>
          </w14:textFill>
        </w:rPr>
        <w:t>可操作友好性：系统提供友好的中文界面，采用规范的行业用语，易于管理和维护。基于 WINDOWS 界面设计，支持键盘和鼠标操作，界面友好、清晰，操作简单、方便，容错性强。</w:t>
      </w:r>
    </w:p>
    <w:p w14:paraId="192FEDF4">
      <w:pPr>
        <w:pStyle w:val="13"/>
        <w:numPr>
          <w:ilvl w:val="0"/>
          <w:numId w:val="3"/>
        </w:numPr>
        <w:spacing w:line="360" w:lineRule="auto"/>
        <w:ind w:firstLine="442"/>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系统功能要求</w:t>
      </w:r>
    </w:p>
    <w:p w14:paraId="5EC86CA0">
      <w:pPr>
        <w:adjustRightInd w:val="0"/>
        <w:snapToGrid w:val="0"/>
        <w:spacing w:line="360" w:lineRule="auto"/>
        <w:ind w:left="480" w:left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要求供应商对以下几点作出说明，包括但不限于：</w:t>
      </w:r>
    </w:p>
    <w:p w14:paraId="49FC1ECD">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性化首页展示：系统平台首页显示有地图信息、当前的日/周/月的总用水量的数据信息，因此登录系统后即可查看到重要的数据信息——用水量数据。同时根据在地图上的点位的展示，通过点击不同的展位可以获取当前监测点位的日用水量的变化情况。直观的获取点位数据的变化趋势。</w:t>
      </w:r>
    </w:p>
    <w:p w14:paraId="68366ECB">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在线数据查询：要求对采集到的计量实时数据进行显示和趋势，在显示的同时可以进行计算和相关处理。可以通过类似于用水流程图监控的界面了解用水的流量以及动态的变化情况。</w:t>
      </w:r>
    </w:p>
    <w:p w14:paraId="0B45572A">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智能数据分析：要求在对象模型中建立组织结构和设备模型并以此为基础进行关键区域或设备的耗水统计和分析，系统可提供多维度的用水分析模型来适应不同的需求。</w:t>
      </w:r>
    </w:p>
    <w:p w14:paraId="7E2D8B92">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及时异常报警：要求具备管理通讯报警和数据报警两个方面的功能。系统报警管理建立以主要点位对象为中心或设备为中心，对用水数据进行监控、分析、报告，主动式为客户监控设备情况是否稳定，保证设备数据稳定性。</w:t>
      </w:r>
    </w:p>
    <w:p w14:paraId="34504B6A">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一报表管理：要求系统支持用水报表输出，包括但不限于主要针对各类其他水质的历史数据进行分析，可以自定义选择筛选条件，可按日、月、年或者自定义时间输出，并支持打印或导出成EXCEL、PDF等，报表样式可自定义选择。</w:t>
      </w:r>
    </w:p>
    <w:p w14:paraId="0769E03A">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智能节水管理：要求可设定每月的用水计划值，当用水超过该计划值，系统将会通过邮箱向相关人员发送用水超量报警。</w:t>
      </w:r>
    </w:p>
    <w:p w14:paraId="03CBC5D3">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在线水平衡：要求可实时查看单位内部用水平衡情况，及时发现管网漏损点。</w:t>
      </w:r>
    </w:p>
    <w:p w14:paraId="3B70DE55">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全生命周期服务管理：要求记录项目开展全过程的信息，可简单快捷地选取项目相关的信息进行查询。</w:t>
      </w:r>
    </w:p>
    <w:p w14:paraId="0F9CE473">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系统支持手机客户端随时查看相关信息，如发生异常用水等情况，可通过手机短信实时提醒。</w:t>
      </w:r>
    </w:p>
    <w:p w14:paraId="2719E74C">
      <w:pPr>
        <w:numPr>
          <w:ilvl w:val="0"/>
          <w:numId w:val="6"/>
        </w:numPr>
        <w:adjustRightInd w:val="0"/>
        <w:snapToGrid w:val="0"/>
        <w:spacing w:line="360" w:lineRule="auto"/>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投标方可提供相关视频、图片等资料作为辅助说明材料。</w:t>
      </w:r>
    </w:p>
    <w:p w14:paraId="740E42EF">
      <w:pPr>
        <w:pStyle w:val="3"/>
        <w:numPr>
          <w:ilvl w:val="0"/>
          <w:numId w:val="0"/>
        </w:numPr>
        <w:spacing w:line="360" w:lineRule="auto"/>
        <w:ind w:left="862"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建设范围</w:t>
      </w:r>
    </w:p>
    <w:p w14:paraId="622AC5C8">
      <w:pPr>
        <w:spacing w:line="360" w:lineRule="auto"/>
        <w:ind w:firstLine="4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项目建设范围包括平台开发、设备供货、运输、安装、调试、试运行、人员培训、提供技术资料、协助验收等工作内容，以及提供在本文件中未提到的但为项目完工所必需的一些基本材料和附属材料。</w:t>
      </w:r>
    </w:p>
    <w:p w14:paraId="5F504313">
      <w:pPr>
        <w:pStyle w:val="3"/>
        <w:numPr>
          <w:ilvl w:val="0"/>
          <w:numId w:val="7"/>
        </w:numPr>
        <w:spacing w:line="360" w:lineRule="auto"/>
        <w:ind w:left="862"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验收要求</w:t>
      </w:r>
    </w:p>
    <w:p w14:paraId="5A7857CE">
      <w:pPr>
        <w:pStyle w:val="3"/>
        <w:numPr>
          <w:ilvl w:val="0"/>
          <w:numId w:val="8"/>
        </w:numPr>
        <w:spacing w:line="360" w:lineRule="auto"/>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验收由采购方会同相关人员与投标方依照国家有关标准、合同及有关附件要求进行；验收合格符合技术指标要求后，方可交付使用；</w:t>
      </w:r>
    </w:p>
    <w:p w14:paraId="5F3F6C17">
      <w:pPr>
        <w:pStyle w:val="3"/>
        <w:numPr>
          <w:ilvl w:val="0"/>
          <w:numId w:val="8"/>
        </w:numPr>
        <w:spacing w:line="360" w:lineRule="auto"/>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隐蔽工程随工验收；</w:t>
      </w:r>
    </w:p>
    <w:p w14:paraId="3CA54CDC">
      <w:pPr>
        <w:pStyle w:val="3"/>
        <w:numPr>
          <w:ilvl w:val="0"/>
          <w:numId w:val="8"/>
        </w:numPr>
        <w:spacing w:line="360" w:lineRule="auto"/>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验收完毕后，由采购方及投标方在验收报告上签名。</w:t>
      </w:r>
    </w:p>
    <w:p w14:paraId="2C827A47">
      <w:pPr>
        <w:pStyle w:val="3"/>
        <w:numPr>
          <w:ilvl w:val="0"/>
          <w:numId w:val="0"/>
        </w:numPr>
        <w:spacing w:line="360" w:lineRule="auto"/>
        <w:ind w:left="862"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售后服务</w:t>
      </w:r>
    </w:p>
    <w:p w14:paraId="2499ADEB">
      <w:pPr>
        <w:tabs>
          <w:tab w:val="left" w:pos="562"/>
        </w:tabs>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投标方对项目提供至</w:t>
      </w:r>
      <w:r>
        <w:rPr>
          <w:rFonts w:hint="eastAsia" w:ascii="仿宋" w:hAnsi="仿宋" w:eastAsia="仿宋" w:cs="仿宋"/>
          <w:color w:val="auto"/>
          <w:sz w:val="32"/>
          <w:szCs w:val="32"/>
        </w:rPr>
        <w:t>少</w:t>
      </w:r>
      <w:r>
        <w:rPr>
          <w:rFonts w:hint="eastAsia" w:ascii="仿宋" w:hAnsi="仿宋" w:eastAsia="仿宋" w:cs="仿宋"/>
          <w:b/>
          <w:color w:val="auto"/>
          <w:sz w:val="32"/>
          <w:szCs w:val="32"/>
        </w:rPr>
        <w:t>1</w:t>
      </w:r>
      <w:r>
        <w:rPr>
          <w:rFonts w:hint="eastAsia" w:ascii="仿宋" w:hAnsi="仿宋" w:eastAsia="仿宋" w:cs="仿宋"/>
          <w:color w:val="000000" w:themeColor="text1"/>
          <w:sz w:val="32"/>
          <w:szCs w:val="32"/>
          <w14:textFill>
            <w14:solidFill>
              <w14:schemeClr w14:val="tx1"/>
            </w14:solidFill>
          </w14:textFill>
        </w:rPr>
        <w:t>年的运维服务期。运维期内，投标方定期对学校管网、表具、系统等项目相关产品进行定期巡视与维护工作；定期提供用水行为报表；出现用水异常情况，及时向指定工作人员发送报警消息，保障学校的用水正常。</w:t>
      </w:r>
    </w:p>
    <w:p w14:paraId="36B1C5B9">
      <w:pPr>
        <w:numPr>
          <w:ilvl w:val="0"/>
          <w:numId w:val="0"/>
        </w:numPr>
        <w:spacing w:line="360" w:lineRule="auto"/>
        <w:ind w:leftChars="200" w:firstLine="320" w:firstLineChars="1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提供7*24小时的技术维护服务和技术支持。</w:t>
      </w:r>
    </w:p>
    <w:p w14:paraId="5CFB0A45">
      <w:pPr>
        <w:numPr>
          <w:ilvl w:val="0"/>
          <w:numId w:val="0"/>
        </w:num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提供7*24小时的故障服务受理，故障受理后4小时内提供处理方案；</w:t>
      </w:r>
    </w:p>
    <w:p w14:paraId="25C5DE85">
      <w:pPr>
        <w:numPr>
          <w:ilvl w:val="0"/>
          <w:numId w:val="0"/>
        </w:numPr>
        <w:spacing w:line="360" w:lineRule="auto"/>
        <w:ind w:left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对重大故障提供7*24小时的现场支援，一般故障提供≤12小时的现场支援；</w:t>
      </w:r>
    </w:p>
    <w:p w14:paraId="32F66BE9">
      <w:pPr>
        <w:numPr>
          <w:ilvl w:val="0"/>
          <w:numId w:val="0"/>
        </w:numPr>
        <w:spacing w:line="360" w:lineRule="auto"/>
        <w:ind w:left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复杂故障承诺到达用户现场起8小时内为用户排除故障。</w:t>
      </w:r>
    </w:p>
    <w:bookmarkEnd w:id="3"/>
    <w:bookmarkEnd w:id="4"/>
    <w:bookmarkEnd w:id="5"/>
    <w:p w14:paraId="32968A16">
      <w:pPr>
        <w:pStyle w:val="3"/>
        <w:numPr>
          <w:ilvl w:val="0"/>
          <w:numId w:val="0"/>
        </w:numPr>
        <w:spacing w:line="360" w:lineRule="auto"/>
        <w:ind w:left="862" w:leftChars="0"/>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付款方式</w:t>
      </w:r>
    </w:p>
    <w:p w14:paraId="417EFDF7">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合同正式生效后15个工作日内，支付中标价款的</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40%；</w:t>
      </w:r>
      <w:r>
        <w:rPr>
          <w:rFonts w:hint="eastAsia" w:ascii="仿宋" w:hAnsi="仿宋" w:eastAsia="仿宋" w:cs="仿宋"/>
          <w:sz w:val="32"/>
          <w:szCs w:val="32"/>
        </w:rPr>
        <w:t>货物全部到货并调试验收，提交竣工验收资料至审计处，审计结束后支付剩余全部价款。</w:t>
      </w:r>
    </w:p>
    <w:p w14:paraId="23133C4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同时中标方向采购方以转账方式缴纳审定价款的3%作为履约保证金，待本项目验收合格之日起满</w:t>
      </w:r>
      <w:r>
        <w:rPr>
          <w:rFonts w:hint="eastAsia" w:ascii="仿宋" w:hAnsi="仿宋" w:eastAsia="仿宋" w:cs="仿宋"/>
          <w:color w:val="FF0000"/>
          <w:sz w:val="32"/>
          <w:szCs w:val="32"/>
        </w:rPr>
        <w:t>一</w:t>
      </w:r>
      <w:r>
        <w:rPr>
          <w:rFonts w:hint="eastAsia" w:ascii="仿宋" w:hAnsi="仿宋" w:eastAsia="仿宋" w:cs="仿宋"/>
          <w:sz w:val="32"/>
          <w:szCs w:val="32"/>
        </w:rPr>
        <w:t>年后，且投标方无任何违约行为时，采购方将履约保证金无息支付给投标方。</w:t>
      </w:r>
    </w:p>
    <w:p w14:paraId="33FD1849">
      <w:pPr>
        <w:pStyle w:val="3"/>
        <w:numPr>
          <w:ilvl w:val="0"/>
          <w:numId w:val="0"/>
        </w:numPr>
        <w:spacing w:line="360" w:lineRule="auto"/>
        <w:ind w:left="862" w:leftChars="0"/>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违约责任</w:t>
      </w:r>
    </w:p>
    <w:p w14:paraId="0F9978D9">
      <w:pPr>
        <w:numPr>
          <w:ilvl w:val="0"/>
          <w:numId w:val="0"/>
        </w:numPr>
        <w:adjustRightInd w:val="0"/>
        <w:snapToGrid w:val="0"/>
        <w:spacing w:line="360" w:lineRule="auto"/>
        <w:ind w:left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采购人、成交人双方应认真履行合同，由于某一方的过失使合同不能履行或造成其它后果的，由过失方承担相应责任；如在项目实施过程中，成交人违约，采购人有权终止及解除合同，由此造成采购人的经济损失由成交人承担。如属双方过失，则根据各自过失的大小，分别承担相应的责任。</w:t>
      </w:r>
    </w:p>
    <w:p w14:paraId="4E302BBB">
      <w:pPr>
        <w:numPr>
          <w:ilvl w:val="0"/>
          <w:numId w:val="0"/>
        </w:numPr>
        <w:adjustRightInd w:val="0"/>
        <w:snapToGrid w:val="0"/>
        <w:spacing w:line="360" w:lineRule="auto"/>
        <w:ind w:left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由于不可抗力造成合同不能履行时，采购人、成交人双方均不承担责任。如造成任何一方损失的，则由损失方自理，但不可抗力发生前已产生的违约责任仍按约定的违约条款实行。</w:t>
      </w:r>
    </w:p>
    <w:p w14:paraId="0779CBA2">
      <w:pPr>
        <w:numPr>
          <w:ilvl w:val="0"/>
          <w:numId w:val="0"/>
        </w:numPr>
        <w:adjustRightInd w:val="0"/>
        <w:snapToGrid w:val="0"/>
        <w:spacing w:line="360" w:lineRule="auto"/>
        <w:ind w:left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投标人提供的服务应符合国家、地方及相关政府管理部门和行业与本项目有关的各项服务标准、规范、规章要求，并满足采购人实际需求，标准、规范等不一致的，以要求高的为准。</w:t>
      </w:r>
    </w:p>
    <w:p w14:paraId="771EEF42">
      <w:pPr>
        <w:ind w:firstLine="0" w:firstLineChars="0"/>
        <w:rPr>
          <w:rFonts w:hint="eastAsia" w:ascii="仿宋" w:hAnsi="仿宋" w:eastAsia="仿宋" w:cs="仿宋"/>
          <w:b/>
          <w:bCs/>
          <w:sz w:val="32"/>
          <w:szCs w:val="32"/>
        </w:rPr>
      </w:pPr>
      <w:bookmarkStart w:id="14" w:name="_Toc7510"/>
      <w:bookmarkStart w:id="15" w:name="_Toc11321"/>
    </w:p>
    <w:p w14:paraId="0448368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十一、投标文件格式</w:t>
      </w:r>
    </w:p>
    <w:p w14:paraId="1F8A0865">
      <w:pPr>
        <w:ind w:firstLine="880" w:firstLineChars="275"/>
        <w:rPr>
          <w:rFonts w:hint="eastAsia" w:ascii="仿宋" w:hAnsi="仿宋" w:eastAsia="仿宋" w:cs="仿宋"/>
          <w:sz w:val="32"/>
          <w:szCs w:val="32"/>
        </w:rPr>
      </w:pPr>
      <w:r>
        <w:rPr>
          <w:rFonts w:hint="eastAsia" w:ascii="仿宋" w:hAnsi="仿宋" w:eastAsia="仿宋" w:cs="仿宋"/>
          <w:sz w:val="32"/>
          <w:szCs w:val="32"/>
        </w:rPr>
        <w:t>1.报价。</w:t>
      </w:r>
    </w:p>
    <w:p w14:paraId="6C17BE7C">
      <w:pPr>
        <w:ind w:firstLine="880" w:firstLineChars="275"/>
        <w:rPr>
          <w:rFonts w:hint="eastAsia" w:ascii="仿宋" w:hAnsi="仿宋" w:eastAsia="仿宋" w:cs="仿宋"/>
          <w:sz w:val="32"/>
          <w:szCs w:val="32"/>
        </w:rPr>
      </w:pPr>
      <w:r>
        <w:rPr>
          <w:rFonts w:hint="eastAsia" w:ascii="仿宋" w:hAnsi="仿宋" w:eastAsia="仿宋" w:cs="仿宋"/>
          <w:sz w:val="32"/>
          <w:szCs w:val="32"/>
        </w:rPr>
        <w:t>2.服务方案。提供针对本项目切实可行的服务运作方案及工作需求。</w:t>
      </w:r>
    </w:p>
    <w:p w14:paraId="52837309">
      <w:pPr>
        <w:ind w:firstLine="880" w:firstLineChars="275"/>
        <w:rPr>
          <w:rFonts w:hint="eastAsia" w:ascii="仿宋" w:hAnsi="仿宋" w:eastAsia="仿宋" w:cs="仿宋"/>
          <w:sz w:val="32"/>
          <w:szCs w:val="32"/>
        </w:rPr>
      </w:pPr>
      <w:r>
        <w:rPr>
          <w:rFonts w:hint="eastAsia" w:ascii="仿宋" w:hAnsi="仿宋" w:eastAsia="仿宋" w:cs="仿宋"/>
          <w:sz w:val="32"/>
          <w:szCs w:val="32"/>
        </w:rPr>
        <w:t>3.项目实施计划。提供针对本项目服务方案设计及作业计划全面回应招标要求，各项内容具体，实施方案，服务措施，保证安全，文明生产及环境的技术措施合理等。</w:t>
      </w:r>
    </w:p>
    <w:p w14:paraId="4511C9B5">
      <w:pPr>
        <w:ind w:firstLine="880" w:firstLineChars="275"/>
        <w:rPr>
          <w:rFonts w:hint="eastAsia" w:ascii="仿宋" w:hAnsi="仿宋" w:eastAsia="仿宋" w:cs="仿宋"/>
          <w:sz w:val="32"/>
          <w:szCs w:val="32"/>
        </w:rPr>
      </w:pPr>
      <w:r>
        <w:rPr>
          <w:rFonts w:hint="eastAsia" w:ascii="仿宋" w:hAnsi="仿宋" w:eastAsia="仿宋" w:cs="仿宋"/>
          <w:sz w:val="32"/>
          <w:szCs w:val="32"/>
        </w:rPr>
        <w:t>4.服务质量保证措施和方案建议。提供针对本项目切实可行的人员培训、质量控制及支持方案的合理化建议等。</w:t>
      </w:r>
    </w:p>
    <w:p w14:paraId="2416B963">
      <w:pPr>
        <w:ind w:firstLine="880" w:firstLineChars="275"/>
        <w:rPr>
          <w:rFonts w:hint="eastAsia" w:ascii="仿宋" w:hAnsi="仿宋" w:eastAsia="仿宋" w:cs="仿宋"/>
          <w:sz w:val="32"/>
          <w:szCs w:val="32"/>
        </w:rPr>
      </w:pPr>
      <w:r>
        <w:rPr>
          <w:rFonts w:hint="eastAsia" w:ascii="仿宋" w:hAnsi="仿宋" w:eastAsia="仿宋" w:cs="仿宋"/>
          <w:sz w:val="32"/>
          <w:szCs w:val="32"/>
        </w:rPr>
        <w:t>5.管理措施。提供针对本项目服务管理承诺及突发事件的应急措施等。</w:t>
      </w:r>
    </w:p>
    <w:p w14:paraId="524F3F69">
      <w:pPr>
        <w:ind w:firstLine="880" w:firstLineChars="275"/>
        <w:rPr>
          <w:rFonts w:hint="eastAsia" w:ascii="仿宋" w:hAnsi="仿宋" w:eastAsia="仿宋" w:cs="仿宋"/>
          <w:sz w:val="32"/>
          <w:szCs w:val="32"/>
        </w:rPr>
      </w:pPr>
      <w:r>
        <w:rPr>
          <w:rFonts w:hint="eastAsia" w:ascii="仿宋" w:hAnsi="仿宋" w:eastAsia="仿宋" w:cs="仿宋"/>
          <w:sz w:val="32"/>
          <w:szCs w:val="32"/>
        </w:rPr>
        <w:t>6.项目人员配置。提供针对本项目拟投入本项目的人员数量，专业分工是否齐全，项目经理的工作经历、资历及相关资格证书，近3年从业人员从事类似服务项目经验情况等。</w:t>
      </w:r>
    </w:p>
    <w:p w14:paraId="25AD33C3">
      <w:pPr>
        <w:ind w:firstLine="880" w:firstLineChars="275"/>
        <w:rPr>
          <w:rFonts w:hint="eastAsia" w:ascii="仿宋" w:hAnsi="仿宋" w:eastAsia="仿宋" w:cs="仿宋"/>
          <w:sz w:val="32"/>
          <w:szCs w:val="32"/>
        </w:rPr>
      </w:pPr>
      <w:r>
        <w:rPr>
          <w:rFonts w:hint="eastAsia" w:ascii="仿宋" w:hAnsi="仿宋" w:eastAsia="仿宋" w:cs="仿宋"/>
          <w:sz w:val="32"/>
          <w:szCs w:val="32"/>
        </w:rPr>
        <w:t>7.类似业绩。提供近3年（2022年</w:t>
      </w:r>
      <w:r>
        <w:rPr>
          <w:rFonts w:hint="eastAsia" w:ascii="仿宋" w:hAnsi="仿宋" w:eastAsia="仿宋" w:cs="仿宋"/>
          <w:sz w:val="32"/>
          <w:szCs w:val="32"/>
          <w:lang w:val="en-US" w:eastAsia="zh-CN"/>
        </w:rPr>
        <w:t>1</w:t>
      </w:r>
      <w:r>
        <w:rPr>
          <w:rFonts w:hint="eastAsia" w:ascii="仿宋" w:hAnsi="仿宋" w:eastAsia="仿宋" w:cs="仿宋"/>
          <w:sz w:val="32"/>
          <w:szCs w:val="32"/>
        </w:rPr>
        <w:t>月1日至今）类似项目的业绩情况等。</w:t>
      </w:r>
    </w:p>
    <w:p w14:paraId="7C084882">
      <w:pPr>
        <w:ind w:firstLine="880" w:firstLineChars="275"/>
        <w:rPr>
          <w:rFonts w:hint="eastAsia" w:ascii="仿宋" w:hAnsi="仿宋" w:eastAsia="仿宋" w:cs="仿宋"/>
          <w:sz w:val="32"/>
          <w:szCs w:val="32"/>
        </w:rPr>
      </w:pPr>
      <w:r>
        <w:rPr>
          <w:rFonts w:hint="eastAsia" w:ascii="仿宋" w:hAnsi="仿宋" w:eastAsia="仿宋" w:cs="仿宋"/>
          <w:sz w:val="32"/>
          <w:szCs w:val="32"/>
        </w:rPr>
        <w:t>8.合理化建议及特色服务。针对本项目提出的合理化建议是否有操作性，针对性等。</w:t>
      </w:r>
    </w:p>
    <w:p w14:paraId="3904409E">
      <w:pPr>
        <w:ind w:firstLine="880" w:firstLineChars="275"/>
        <w:rPr>
          <w:rFonts w:hint="eastAsia" w:ascii="仿宋" w:hAnsi="仿宋" w:eastAsia="仿宋" w:cs="仿宋"/>
          <w:sz w:val="32"/>
          <w:szCs w:val="32"/>
        </w:rPr>
      </w:pPr>
      <w:r>
        <w:rPr>
          <w:rFonts w:hint="eastAsia" w:ascii="仿宋" w:hAnsi="仿宋" w:eastAsia="仿宋" w:cs="仿宋"/>
          <w:sz w:val="32"/>
          <w:szCs w:val="32"/>
        </w:rPr>
        <w:t>9.项目物力配置情况。提供针对本项目的设施、设备等配置情况，各硬件设备其种类、型号、数量、性能等情况满足需求的程度以及项目服务期设施、设备、耗材等。</w:t>
      </w:r>
    </w:p>
    <w:p w14:paraId="1B6F6A87">
      <w:pPr>
        <w:pStyle w:val="3"/>
        <w:rPr>
          <w:rFonts w:hint="eastAsia" w:ascii="仿宋" w:hAnsi="仿宋" w:eastAsia="仿宋" w:cs="仿宋"/>
          <w:sz w:val="32"/>
          <w:szCs w:val="32"/>
          <w:lang w:val="en-US" w:eastAsia="zh-CN"/>
        </w:rPr>
      </w:pPr>
    </w:p>
    <w:bookmarkEnd w:id="0"/>
    <w:bookmarkEnd w:id="1"/>
    <w:bookmarkEnd w:id="2"/>
    <w:bookmarkEnd w:id="14"/>
    <w:bookmarkEnd w:id="15"/>
    <w:p w14:paraId="6FCFE7F1">
      <w:pPr>
        <w:pStyle w:val="2"/>
        <w:spacing w:line="360" w:lineRule="auto"/>
        <w:rPr>
          <w:rFonts w:hint="eastAsia" w:ascii="仿宋" w:hAnsi="仿宋" w:eastAsia="仿宋" w:cs="仿宋"/>
          <w:b w:val="0"/>
          <w:bCs w:val="0"/>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Optimum">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6025A"/>
    <w:multiLevelType w:val="singleLevel"/>
    <w:tmpl w:val="A106025A"/>
    <w:lvl w:ilvl="0" w:tentative="0">
      <w:start w:val="2"/>
      <w:numFmt w:val="decimal"/>
      <w:suff w:val="space"/>
      <w:lvlText w:val="%1."/>
      <w:lvlJc w:val="left"/>
    </w:lvl>
  </w:abstractNum>
  <w:abstractNum w:abstractNumId="1">
    <w:nsid w:val="D9F7EF92"/>
    <w:multiLevelType w:val="singleLevel"/>
    <w:tmpl w:val="D9F7EF92"/>
    <w:lvl w:ilvl="0" w:tentative="0">
      <w:start w:val="7"/>
      <w:numFmt w:val="chineseCounting"/>
      <w:suff w:val="nothing"/>
      <w:lvlText w:val="%1、"/>
      <w:lvlJc w:val="left"/>
      <w:rPr>
        <w:rFonts w:hint="eastAsia"/>
      </w:rPr>
    </w:lvl>
  </w:abstractNum>
  <w:abstractNum w:abstractNumId="2">
    <w:nsid w:val="F825ED9C"/>
    <w:multiLevelType w:val="singleLevel"/>
    <w:tmpl w:val="F825ED9C"/>
    <w:lvl w:ilvl="0" w:tentative="0">
      <w:start w:val="1"/>
      <w:numFmt w:val="decimal"/>
      <w:lvlText w:val="(%1)"/>
      <w:lvlJc w:val="left"/>
      <w:pPr>
        <w:ind w:left="425" w:hanging="425"/>
      </w:pPr>
      <w:rPr>
        <w:rFonts w:hint="default"/>
      </w:rPr>
    </w:lvl>
  </w:abstractNum>
  <w:abstractNum w:abstractNumId="3">
    <w:nsid w:val="F97E3DA4"/>
    <w:multiLevelType w:val="singleLevel"/>
    <w:tmpl w:val="F97E3DA4"/>
    <w:lvl w:ilvl="0" w:tentative="0">
      <w:start w:val="1"/>
      <w:numFmt w:val="decimal"/>
      <w:lvlText w:val="(%1)"/>
      <w:lvlJc w:val="left"/>
      <w:pPr>
        <w:ind w:left="425" w:hanging="425"/>
      </w:pPr>
      <w:rPr>
        <w:rFonts w:hint="default"/>
      </w:rPr>
    </w:lvl>
  </w:abstractNum>
  <w:abstractNum w:abstractNumId="4">
    <w:nsid w:val="026CE5BD"/>
    <w:multiLevelType w:val="singleLevel"/>
    <w:tmpl w:val="026CE5BD"/>
    <w:lvl w:ilvl="0" w:tentative="0">
      <w:start w:val="1"/>
      <w:numFmt w:val="decimal"/>
      <w:lvlText w:val="%1."/>
      <w:lvlJc w:val="left"/>
      <w:pPr>
        <w:tabs>
          <w:tab w:val="left" w:pos="312"/>
        </w:tabs>
      </w:pPr>
    </w:lvl>
  </w:abstractNum>
  <w:abstractNum w:abstractNumId="5">
    <w:nsid w:val="44881F9C"/>
    <w:multiLevelType w:val="singleLevel"/>
    <w:tmpl w:val="44881F9C"/>
    <w:lvl w:ilvl="0" w:tentative="0">
      <w:start w:val="1"/>
      <w:numFmt w:val="decimal"/>
      <w:lvlText w:val="(%1)"/>
      <w:lvlJc w:val="left"/>
      <w:pPr>
        <w:ind w:left="425" w:hanging="425"/>
      </w:pPr>
      <w:rPr>
        <w:rFonts w:hint="default"/>
      </w:rPr>
    </w:lvl>
  </w:abstractNum>
  <w:abstractNum w:abstractNumId="6">
    <w:nsid w:val="6F32F4D2"/>
    <w:multiLevelType w:val="singleLevel"/>
    <w:tmpl w:val="6F32F4D2"/>
    <w:lvl w:ilvl="0" w:tentative="0">
      <w:start w:val="2"/>
      <w:numFmt w:val="chineseCounting"/>
      <w:suff w:val="nothing"/>
      <w:lvlText w:val="%1、"/>
      <w:lvlJc w:val="left"/>
      <w:rPr>
        <w:rFonts w:hint="eastAsia"/>
      </w:rPr>
    </w:lvl>
  </w:abstractNum>
  <w:abstractNum w:abstractNumId="7">
    <w:nsid w:val="7330BEEA"/>
    <w:multiLevelType w:val="singleLevel"/>
    <w:tmpl w:val="7330BEEA"/>
    <w:lvl w:ilvl="0" w:tentative="0">
      <w:start w:val="1"/>
      <w:numFmt w:val="decimal"/>
      <w:lvlText w:val="(%1)"/>
      <w:lvlJc w:val="left"/>
      <w:pPr>
        <w:ind w:left="425" w:hanging="425"/>
      </w:pPr>
      <w:rPr>
        <w:rFonts w:hint="default"/>
      </w:rPr>
    </w:lvl>
  </w:abstractNum>
  <w:num w:numId="1">
    <w:abstractNumId w:val="6"/>
  </w:num>
  <w:num w:numId="2">
    <w:abstractNumId w:val="7"/>
  </w:num>
  <w:num w:numId="3">
    <w:abstractNumId w:val="0"/>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iNzQ2NGJmNDhkYTk0NGIyNzU1MmRiNjBmMDdiZTYifQ=="/>
  </w:docVars>
  <w:rsids>
    <w:rsidRoot w:val="00B24345"/>
    <w:rsid w:val="00003FA5"/>
    <w:rsid w:val="00025A12"/>
    <w:rsid w:val="0013493B"/>
    <w:rsid w:val="001D5936"/>
    <w:rsid w:val="001F06CA"/>
    <w:rsid w:val="00252DC6"/>
    <w:rsid w:val="00272961"/>
    <w:rsid w:val="00297838"/>
    <w:rsid w:val="002C2B85"/>
    <w:rsid w:val="002C5F88"/>
    <w:rsid w:val="002D6E0E"/>
    <w:rsid w:val="00307A98"/>
    <w:rsid w:val="003429E9"/>
    <w:rsid w:val="00345A09"/>
    <w:rsid w:val="0036531F"/>
    <w:rsid w:val="003A32F8"/>
    <w:rsid w:val="003A78A0"/>
    <w:rsid w:val="0042788A"/>
    <w:rsid w:val="00453454"/>
    <w:rsid w:val="004807A0"/>
    <w:rsid w:val="00580746"/>
    <w:rsid w:val="00590A52"/>
    <w:rsid w:val="005C7AF4"/>
    <w:rsid w:val="005F1850"/>
    <w:rsid w:val="0063138D"/>
    <w:rsid w:val="00650EF2"/>
    <w:rsid w:val="00697AAE"/>
    <w:rsid w:val="006A10B8"/>
    <w:rsid w:val="006D4234"/>
    <w:rsid w:val="006D6DBF"/>
    <w:rsid w:val="007825F2"/>
    <w:rsid w:val="00790441"/>
    <w:rsid w:val="007F75FA"/>
    <w:rsid w:val="00822149"/>
    <w:rsid w:val="00840350"/>
    <w:rsid w:val="00855C87"/>
    <w:rsid w:val="0086200A"/>
    <w:rsid w:val="008672E8"/>
    <w:rsid w:val="00892BA4"/>
    <w:rsid w:val="008A70D3"/>
    <w:rsid w:val="008B5669"/>
    <w:rsid w:val="008C3A78"/>
    <w:rsid w:val="008D1060"/>
    <w:rsid w:val="008D1B5C"/>
    <w:rsid w:val="008E4389"/>
    <w:rsid w:val="008E537E"/>
    <w:rsid w:val="008E539F"/>
    <w:rsid w:val="009010E1"/>
    <w:rsid w:val="009172C9"/>
    <w:rsid w:val="009226F6"/>
    <w:rsid w:val="00936C2D"/>
    <w:rsid w:val="00956057"/>
    <w:rsid w:val="009630D1"/>
    <w:rsid w:val="009B4A6E"/>
    <w:rsid w:val="009D16BC"/>
    <w:rsid w:val="00A36CD5"/>
    <w:rsid w:val="00B24345"/>
    <w:rsid w:val="00B42061"/>
    <w:rsid w:val="00B842BA"/>
    <w:rsid w:val="00B9329A"/>
    <w:rsid w:val="00BC0ADF"/>
    <w:rsid w:val="00C41785"/>
    <w:rsid w:val="00CF237C"/>
    <w:rsid w:val="00D320B1"/>
    <w:rsid w:val="00D47341"/>
    <w:rsid w:val="00D73EBC"/>
    <w:rsid w:val="00DC5686"/>
    <w:rsid w:val="00E66EBD"/>
    <w:rsid w:val="00E75909"/>
    <w:rsid w:val="00E87BED"/>
    <w:rsid w:val="00E94708"/>
    <w:rsid w:val="00EB25D9"/>
    <w:rsid w:val="00ED06CD"/>
    <w:rsid w:val="00ED485E"/>
    <w:rsid w:val="00EF77BF"/>
    <w:rsid w:val="00FE40A2"/>
    <w:rsid w:val="00FF0B94"/>
    <w:rsid w:val="00FF451B"/>
    <w:rsid w:val="01F84CCA"/>
    <w:rsid w:val="035209E8"/>
    <w:rsid w:val="07661FC9"/>
    <w:rsid w:val="085B3B1D"/>
    <w:rsid w:val="08B81FCC"/>
    <w:rsid w:val="092071F9"/>
    <w:rsid w:val="094473E2"/>
    <w:rsid w:val="098634F4"/>
    <w:rsid w:val="0AB95E3A"/>
    <w:rsid w:val="0BA64A50"/>
    <w:rsid w:val="0BB371F8"/>
    <w:rsid w:val="0C0C55FE"/>
    <w:rsid w:val="0C846410"/>
    <w:rsid w:val="14217E48"/>
    <w:rsid w:val="14892302"/>
    <w:rsid w:val="15AA30B3"/>
    <w:rsid w:val="179454BE"/>
    <w:rsid w:val="181D1691"/>
    <w:rsid w:val="18FC20B4"/>
    <w:rsid w:val="1A9A550D"/>
    <w:rsid w:val="1AF8390E"/>
    <w:rsid w:val="1B4521DE"/>
    <w:rsid w:val="1B8A1A97"/>
    <w:rsid w:val="1C201F71"/>
    <w:rsid w:val="1D8C785F"/>
    <w:rsid w:val="1E4D6E27"/>
    <w:rsid w:val="219C5721"/>
    <w:rsid w:val="273B121F"/>
    <w:rsid w:val="292B68F0"/>
    <w:rsid w:val="2CE455E0"/>
    <w:rsid w:val="2D3C23F8"/>
    <w:rsid w:val="30622DD0"/>
    <w:rsid w:val="312262AF"/>
    <w:rsid w:val="32D94B16"/>
    <w:rsid w:val="33335A23"/>
    <w:rsid w:val="36266C69"/>
    <w:rsid w:val="364B19E9"/>
    <w:rsid w:val="37E333E7"/>
    <w:rsid w:val="386466FD"/>
    <w:rsid w:val="386E4A17"/>
    <w:rsid w:val="38F922C3"/>
    <w:rsid w:val="39F82207"/>
    <w:rsid w:val="3B7443DF"/>
    <w:rsid w:val="3D6F78AC"/>
    <w:rsid w:val="3E5F0B05"/>
    <w:rsid w:val="3F695474"/>
    <w:rsid w:val="412F003A"/>
    <w:rsid w:val="427A40CA"/>
    <w:rsid w:val="43714213"/>
    <w:rsid w:val="43AC3605"/>
    <w:rsid w:val="44520E44"/>
    <w:rsid w:val="471746ED"/>
    <w:rsid w:val="47A11B5D"/>
    <w:rsid w:val="4AB11A58"/>
    <w:rsid w:val="4ABA1362"/>
    <w:rsid w:val="4C3D1DB0"/>
    <w:rsid w:val="4C9166AE"/>
    <w:rsid w:val="4CFC3755"/>
    <w:rsid w:val="4D245859"/>
    <w:rsid w:val="4D624FCA"/>
    <w:rsid w:val="4D984123"/>
    <w:rsid w:val="4E7F268F"/>
    <w:rsid w:val="4F2C5DC5"/>
    <w:rsid w:val="4F501544"/>
    <w:rsid w:val="4FCB231E"/>
    <w:rsid w:val="4FF40E5F"/>
    <w:rsid w:val="500F43E1"/>
    <w:rsid w:val="505816DA"/>
    <w:rsid w:val="52183F51"/>
    <w:rsid w:val="53632031"/>
    <w:rsid w:val="54400D6C"/>
    <w:rsid w:val="57D70067"/>
    <w:rsid w:val="5A8106A5"/>
    <w:rsid w:val="5AAF439E"/>
    <w:rsid w:val="5E9E70AF"/>
    <w:rsid w:val="601C5616"/>
    <w:rsid w:val="618A22D9"/>
    <w:rsid w:val="628A586E"/>
    <w:rsid w:val="6732696D"/>
    <w:rsid w:val="6ABA53D9"/>
    <w:rsid w:val="6CF57B36"/>
    <w:rsid w:val="6DEC10EE"/>
    <w:rsid w:val="6E581042"/>
    <w:rsid w:val="707E7775"/>
    <w:rsid w:val="73097DD9"/>
    <w:rsid w:val="73122300"/>
    <w:rsid w:val="74057B25"/>
    <w:rsid w:val="75716EFD"/>
    <w:rsid w:val="7921197B"/>
    <w:rsid w:val="7BD561AA"/>
    <w:rsid w:val="7E785608"/>
    <w:rsid w:val="7E7C03BF"/>
    <w:rsid w:val="7FCF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32"/>
      <w:szCs w:val="44"/>
    </w:rPr>
  </w:style>
  <w:style w:type="paragraph" w:styleId="3">
    <w:name w:val="heading 2"/>
    <w:basedOn w:val="1"/>
    <w:next w:val="4"/>
    <w:link w:val="20"/>
    <w:autoRedefine/>
    <w:unhideWhenUsed/>
    <w:qFormat/>
    <w:uiPriority w:val="9"/>
    <w:pPr>
      <w:keepNext/>
      <w:keepLines/>
      <w:spacing w:before="260" w:after="260"/>
      <w:outlineLvl w:val="1"/>
    </w:pPr>
    <w:rPr>
      <w:rFonts w:eastAsia="黑体" w:asciiTheme="majorHAnsi" w:hAnsiTheme="majorHAnsi" w:cstheme="majorBidi"/>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pPr>
    <w:rPr>
      <w:rFonts w:ascii="Times New Roman" w:hAnsi="Times New Roman" w:cs="Times New Roman"/>
      <w:kern w:val="0"/>
      <w:szCs w:val="20"/>
    </w:rPr>
  </w:style>
  <w:style w:type="paragraph" w:styleId="5">
    <w:name w:val="Body Text"/>
    <w:basedOn w:val="1"/>
    <w:autoRedefine/>
    <w:qFormat/>
    <w:uiPriority w:val="0"/>
    <w:pPr>
      <w:spacing w:after="120"/>
    </w:pPr>
    <w:rPr>
      <w:rFonts w:ascii="Times New Roman" w:hAnsi="Times New Roman" w:cs="Times New Roman"/>
      <w:szCs w:val="24"/>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2"/>
    <w:autoRedefine/>
    <w:qFormat/>
    <w:uiPriority w:val="0"/>
    <w:pPr>
      <w:widowControl w:val="0"/>
      <w:autoSpaceDE w:val="0"/>
      <w:autoSpaceDN w:val="0"/>
      <w:adjustRightInd w:val="0"/>
    </w:pPr>
    <w:rPr>
      <w:rFonts w:ascii="Optimum" w:hAnsi="Cambria" w:eastAsia="Optimum" w:cs="Times New Roman"/>
      <w:color w:val="000000"/>
      <w:sz w:val="24"/>
      <w:szCs w:val="24"/>
      <w:lang w:val="en-US" w:eastAsia="zh-CN" w:bidi="ar-SA"/>
    </w:rPr>
  </w:style>
  <w:style w:type="paragraph" w:customStyle="1" w:styleId="12">
    <w:name w:val="*正文"/>
    <w:basedOn w:val="1"/>
    <w:autoRedefine/>
    <w:qFormat/>
    <w:uiPriority w:val="0"/>
    <w:pPr>
      <w:ind w:firstLine="964"/>
    </w:pPr>
    <w:rPr>
      <w:rFonts w:hAnsi="宋体" w:cs="仿宋_GB2312"/>
    </w:rPr>
  </w:style>
  <w:style w:type="paragraph" w:styleId="13">
    <w:name w:val="List Paragraph"/>
    <w:basedOn w:val="1"/>
    <w:qFormat/>
    <w:uiPriority w:val="34"/>
    <w:pPr>
      <w:ind w:firstLine="420" w:firstLineChars="200"/>
    </w:pPr>
  </w:style>
  <w:style w:type="paragraph" w:customStyle="1" w:styleId="14">
    <w:name w:val="正文1"/>
    <w:basedOn w:val="1"/>
    <w:autoRedefine/>
    <w:qFormat/>
    <w:uiPriority w:val="0"/>
    <w:pPr>
      <w:tabs>
        <w:tab w:val="left" w:pos="1290"/>
      </w:tabs>
      <w:ind w:left="1290" w:hanging="420"/>
      <w:jc w:val="left"/>
    </w:pPr>
    <w:rPr>
      <w:rFonts w:ascii="Times New Roman" w:hAnsi="Times New Roman" w:eastAsia="宋体" w:cs="Times New Roman"/>
      <w:sz w:val="21"/>
      <w:szCs w:val="24"/>
    </w:rPr>
  </w:style>
  <w:style w:type="paragraph" w:customStyle="1" w:styleId="15">
    <w:name w:val="列出段落1"/>
    <w:basedOn w:val="1"/>
    <w:autoRedefine/>
    <w:qFormat/>
    <w:uiPriority w:val="34"/>
    <w:pPr>
      <w:ind w:firstLine="420" w:firstLineChars="200"/>
    </w:pPr>
    <w:rPr>
      <w:rFonts w:ascii="Times New Roman" w:hAnsi="Times New Roman"/>
      <w:szCs w:val="24"/>
    </w:rPr>
  </w:style>
  <w:style w:type="paragraph" w:customStyle="1" w:styleId="16">
    <w:name w:val="flName"/>
    <w:basedOn w:val="17"/>
    <w:autoRedefine/>
    <w:qFormat/>
    <w:uiPriority w:val="0"/>
    <w:rPr>
      <w:sz w:val="32"/>
    </w:rPr>
  </w:style>
  <w:style w:type="paragraph" w:customStyle="1" w:styleId="17">
    <w:name w:val="flNote"/>
    <w:basedOn w:val="1"/>
    <w:autoRedefine/>
    <w:qFormat/>
    <w:uiPriority w:val="0"/>
    <w:pPr>
      <w:spacing w:before="320" w:after="160"/>
      <w:jc w:val="center"/>
    </w:pPr>
    <w:rPr>
      <w:rFonts w:ascii="Arial" w:eastAsia="黑体"/>
      <w:sz w:val="30"/>
    </w:rPr>
  </w:style>
  <w:style w:type="character" w:customStyle="1" w:styleId="18">
    <w:name w:val="页脚 字符"/>
    <w:basedOn w:val="10"/>
    <w:link w:val="6"/>
    <w:qFormat/>
    <w:uiPriority w:val="0"/>
    <w:rPr>
      <w:rFonts w:eastAsia="仿宋"/>
      <w:kern w:val="2"/>
      <w:sz w:val="18"/>
      <w:szCs w:val="18"/>
    </w:rPr>
  </w:style>
  <w:style w:type="table" w:customStyle="1" w:styleId="19">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0">
    <w:name w:val="标题 2 字符"/>
    <w:basedOn w:val="10"/>
    <w:link w:val="3"/>
    <w:uiPriority w:val="9"/>
    <w:rPr>
      <w:rFonts w:eastAsia="黑体" w:asciiTheme="majorHAnsi" w:hAnsiTheme="majorHAnsi" w:cstheme="majorBidi"/>
      <w:b/>
      <w:bCs/>
      <w:kern w:val="2"/>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4352</Words>
  <Characters>4706</Characters>
  <Lines>186</Lines>
  <Paragraphs>265</Paragraphs>
  <TotalTime>0</TotalTime>
  <ScaleCrop>false</ScaleCrop>
  <LinksUpToDate>false</LinksUpToDate>
  <CharactersWithSpaces>4729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2025-06-23T03:02:00Z</dcterms:created>
  <dc:creator>MAC1</dc:creator>
  <cp:lastModifiedBy>shupl</cp:lastModifiedBy>
  <dcterms:modified xsi:type="dcterms:W3CDTF">2025-09-28T06:28:18Z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B23C2A6957044790A785D9A45130E807</vt:lpwstr>
  </property>
  <property fmtid="{D5CDD505-2E9C-101B-9397-08002B2CF9AE}" pid="4" name="KSOTemplateDocerSaveRecord">
    <vt:lpwstr>eyJoZGlkIjoiMDA1ODM3MWJhMjY1MTY4M2Q0MTRhZWQ1ZmNhMWNkMDgiLCJ1c2VySWQiOiIxNzI4MjkzMTc1In0=</vt:lpwstr>
  </property>
</Properties>
</file>