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B9CF" w14:textId="3E8F31A0" w:rsidR="008B3EE0" w:rsidRDefault="008B3EE0" w:rsidP="00DD665F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8B3EE0">
        <w:rPr>
          <w:rFonts w:ascii="黑体" w:eastAsia="黑体" w:hAnsi="黑体" w:hint="eastAsia"/>
          <w:b/>
          <w:bCs/>
          <w:sz w:val="36"/>
          <w:szCs w:val="36"/>
        </w:rPr>
        <w:t>上海政法学院三</w:t>
      </w:r>
      <w:r w:rsidR="00E71841">
        <w:rPr>
          <w:rFonts w:ascii="黑体" w:eastAsia="黑体" w:hAnsi="黑体" w:hint="eastAsia"/>
          <w:b/>
          <w:bCs/>
          <w:sz w:val="36"/>
          <w:szCs w:val="36"/>
        </w:rPr>
        <w:t>号</w:t>
      </w:r>
      <w:r w:rsidRPr="008B3EE0">
        <w:rPr>
          <w:rFonts w:ascii="黑体" w:eastAsia="黑体" w:hAnsi="黑体" w:hint="eastAsia"/>
          <w:b/>
          <w:bCs/>
          <w:sz w:val="36"/>
          <w:szCs w:val="36"/>
        </w:rPr>
        <w:t>、四号配电站电容器更换项目</w:t>
      </w:r>
    </w:p>
    <w:p w14:paraId="6126111C" w14:textId="6CEB37BA" w:rsidR="00A66923" w:rsidRPr="008B3EE0" w:rsidRDefault="00EE38C6" w:rsidP="00DD665F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8B3EE0">
        <w:rPr>
          <w:rFonts w:ascii="黑体" w:eastAsia="黑体" w:hAnsi="黑体" w:hint="eastAsia"/>
          <w:b/>
          <w:bCs/>
          <w:sz w:val="36"/>
          <w:szCs w:val="36"/>
        </w:rPr>
        <w:t>招标需求</w:t>
      </w:r>
    </w:p>
    <w:p w14:paraId="6327191F" w14:textId="7C3C7F64" w:rsidR="00EE38C6" w:rsidRPr="00E71841" w:rsidRDefault="00EE38C6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一、项目名称</w:t>
      </w:r>
      <w:r w:rsidRPr="00E71841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D665F" w:rsidRPr="00E71841">
        <w:rPr>
          <w:rFonts w:ascii="宋体" w:eastAsia="宋体" w:hAnsi="宋体" w:hint="eastAsia"/>
          <w:b/>
          <w:bCs/>
          <w:sz w:val="28"/>
          <w:szCs w:val="28"/>
        </w:rPr>
        <w:t>上海政法学院三</w:t>
      </w:r>
      <w:r w:rsidR="00E71841" w:rsidRPr="00E71841">
        <w:rPr>
          <w:rFonts w:ascii="宋体" w:eastAsia="宋体" w:hAnsi="宋体" w:hint="eastAsia"/>
          <w:b/>
          <w:bCs/>
          <w:sz w:val="28"/>
          <w:szCs w:val="28"/>
        </w:rPr>
        <w:t>号</w:t>
      </w:r>
      <w:r w:rsidR="00DD665F" w:rsidRPr="00E71841">
        <w:rPr>
          <w:rFonts w:ascii="宋体" w:eastAsia="宋体" w:hAnsi="宋体" w:hint="eastAsia"/>
          <w:b/>
          <w:bCs/>
          <w:sz w:val="28"/>
          <w:szCs w:val="28"/>
        </w:rPr>
        <w:t>、四号配电站电容器更换项目</w:t>
      </w:r>
    </w:p>
    <w:p w14:paraId="4BE8EC5C" w14:textId="77777777" w:rsidR="00DD665F" w:rsidRPr="008B3EE0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二、项目概况：</w:t>
      </w:r>
    </w:p>
    <w:p w14:paraId="53E71B01" w14:textId="18892B12" w:rsidR="00EE38C6" w:rsidRPr="00DD665F" w:rsidRDefault="00DD665F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DD665F">
        <w:rPr>
          <w:rFonts w:ascii="宋体" w:eastAsia="宋体" w:hAnsi="宋体" w:hint="eastAsia"/>
          <w:sz w:val="28"/>
          <w:szCs w:val="28"/>
        </w:rPr>
        <w:t>学校部分变电站由于建成较早，变电站部分设备中存在零部件老化和超期使用情况，近期后勤保障处会同物业公司在对学校变电站进行例行安全巡查中，发现学校三</w:t>
      </w:r>
      <w:r w:rsidR="00E71841">
        <w:rPr>
          <w:rFonts w:ascii="宋体" w:eastAsia="宋体" w:hAnsi="宋体" w:hint="eastAsia"/>
          <w:sz w:val="28"/>
          <w:szCs w:val="28"/>
        </w:rPr>
        <w:t>号</w:t>
      </w:r>
      <w:r w:rsidRPr="00DD665F">
        <w:rPr>
          <w:rFonts w:ascii="宋体" w:eastAsia="宋体" w:hAnsi="宋体" w:hint="eastAsia"/>
          <w:sz w:val="28"/>
          <w:szCs w:val="28"/>
        </w:rPr>
        <w:t>、四号配电站电容补偿柜中部分电容存在不同程度的鼓包和漏油情况，为保障供电设备安全运行，需要立即更换电容</w:t>
      </w:r>
      <w:r w:rsidR="002E7FBF" w:rsidRPr="002E7FBF">
        <w:rPr>
          <w:rFonts w:ascii="宋体" w:eastAsia="宋体" w:hAnsi="宋体" w:hint="eastAsia"/>
          <w:sz w:val="28"/>
          <w:szCs w:val="28"/>
        </w:rPr>
        <w:t>、电容接触器、保护熔丝</w:t>
      </w:r>
      <w:r w:rsidR="002E7FBF">
        <w:rPr>
          <w:rFonts w:ascii="宋体" w:eastAsia="宋体" w:hAnsi="宋体" w:hint="eastAsia"/>
          <w:sz w:val="28"/>
          <w:szCs w:val="28"/>
        </w:rPr>
        <w:t>等设备</w:t>
      </w:r>
      <w:r w:rsidRPr="00DD665F">
        <w:rPr>
          <w:rFonts w:ascii="宋体" w:eastAsia="宋体" w:hAnsi="宋体" w:hint="eastAsia"/>
          <w:sz w:val="28"/>
          <w:szCs w:val="28"/>
        </w:rPr>
        <w:t>。</w:t>
      </w:r>
    </w:p>
    <w:p w14:paraId="75759FED" w14:textId="6A91D1F1" w:rsidR="00845883" w:rsidRPr="008B3EE0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E71841">
        <w:rPr>
          <w:rFonts w:ascii="宋体" w:eastAsia="宋体" w:hAnsi="宋体" w:hint="eastAsia"/>
          <w:b/>
          <w:bCs/>
          <w:sz w:val="28"/>
          <w:szCs w:val="28"/>
        </w:rPr>
        <w:t>三、项目预算：</w:t>
      </w:r>
      <w:r w:rsidR="0007391D" w:rsidRPr="00E71841">
        <w:rPr>
          <w:rFonts w:ascii="宋体" w:eastAsia="宋体" w:hAnsi="宋体" w:hint="eastAsia"/>
          <w:sz w:val="28"/>
          <w:szCs w:val="28"/>
        </w:rPr>
        <w:t>9.5万</w:t>
      </w:r>
      <w:r w:rsidR="00596982">
        <w:rPr>
          <w:rFonts w:ascii="宋体" w:eastAsia="宋体" w:hAnsi="宋体" w:hint="eastAsia"/>
          <w:sz w:val="28"/>
          <w:szCs w:val="28"/>
        </w:rPr>
        <w:t>元</w:t>
      </w:r>
    </w:p>
    <w:p w14:paraId="2B26BCBE" w14:textId="22C579AE" w:rsidR="00845883" w:rsidRPr="00E71841" w:rsidRDefault="00845883" w:rsidP="00596982">
      <w:pPr>
        <w:spacing w:beforeLines="100" w:before="312"/>
        <w:rPr>
          <w:rFonts w:ascii="宋体" w:eastAsia="宋体" w:hAnsi="宋体" w:hint="eastAsia"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四、项目地点：</w:t>
      </w:r>
      <w:r w:rsidR="0007391D" w:rsidRPr="00E71841">
        <w:rPr>
          <w:rFonts w:ascii="宋体" w:eastAsia="宋体" w:hAnsi="宋体" w:hint="eastAsia"/>
          <w:sz w:val="28"/>
          <w:szCs w:val="28"/>
        </w:rPr>
        <w:t>上海市青浦区外青松公路7989号上海政法学院</w:t>
      </w:r>
    </w:p>
    <w:p w14:paraId="3051A7F4" w14:textId="45640411" w:rsidR="00845883" w:rsidRPr="00E71841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五、</w:t>
      </w:r>
      <w:bookmarkStart w:id="0" w:name="_Hlk218583700"/>
      <w:r w:rsidRPr="008B3EE0">
        <w:rPr>
          <w:rFonts w:ascii="宋体" w:eastAsia="宋体" w:hAnsi="宋体" w:hint="eastAsia"/>
          <w:b/>
          <w:bCs/>
          <w:sz w:val="28"/>
          <w:szCs w:val="28"/>
        </w:rPr>
        <w:t>项目</w:t>
      </w:r>
      <w:r w:rsidR="00541DCA">
        <w:rPr>
          <w:rFonts w:ascii="宋体" w:eastAsia="宋体" w:hAnsi="宋体" w:hint="eastAsia"/>
          <w:b/>
          <w:bCs/>
          <w:sz w:val="28"/>
          <w:szCs w:val="28"/>
        </w:rPr>
        <w:t>工期</w:t>
      </w:r>
      <w:r w:rsidRPr="008B3EE0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541DCA">
        <w:rPr>
          <w:rFonts w:ascii="宋体" w:eastAsia="宋体" w:hAnsi="宋体" w:hint="eastAsia"/>
          <w:sz w:val="28"/>
          <w:szCs w:val="28"/>
        </w:rPr>
        <w:t>3天，开工时间以甲方通知为准</w:t>
      </w:r>
      <w:r w:rsidR="008D371B" w:rsidRPr="00E71841">
        <w:rPr>
          <w:rFonts w:ascii="宋体" w:eastAsia="宋体" w:hAnsi="宋体" w:hint="eastAsia"/>
          <w:sz w:val="28"/>
          <w:szCs w:val="28"/>
        </w:rPr>
        <w:t>。</w:t>
      </w:r>
      <w:bookmarkEnd w:id="0"/>
    </w:p>
    <w:p w14:paraId="67C6505C" w14:textId="17146490" w:rsidR="00845883" w:rsidRPr="008B3EE0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六、投标单位资质要求：</w:t>
      </w:r>
    </w:p>
    <w:p w14:paraId="7BC871E0" w14:textId="707B73EC" w:rsidR="00DD665F" w:rsidRPr="00DD665F" w:rsidRDefault="00DD665F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DD665F">
        <w:rPr>
          <w:rFonts w:ascii="宋体" w:eastAsia="宋体" w:hAnsi="宋体" w:hint="eastAsia"/>
          <w:sz w:val="28"/>
          <w:szCs w:val="28"/>
        </w:rPr>
        <w:t>1、投标人中华人民共和国境内注册独立法人企业，具有电力工程施工总承包三级以上（含三级）。</w:t>
      </w:r>
    </w:p>
    <w:p w14:paraId="53C59A4E" w14:textId="77777777" w:rsidR="00DD665F" w:rsidRDefault="00DD665F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DD665F">
        <w:rPr>
          <w:rFonts w:ascii="宋体" w:eastAsia="宋体" w:hAnsi="宋体" w:hint="eastAsia"/>
          <w:sz w:val="28"/>
          <w:szCs w:val="28"/>
        </w:rPr>
        <w:t>2、资产状况良好，无不良记录。</w:t>
      </w:r>
    </w:p>
    <w:p w14:paraId="7158C224" w14:textId="46E05031" w:rsidR="008D371B" w:rsidRDefault="008D371B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8D371B">
        <w:rPr>
          <w:rFonts w:ascii="宋体" w:eastAsia="宋体" w:hAnsi="宋体" w:hint="eastAsia"/>
          <w:sz w:val="28"/>
          <w:szCs w:val="28"/>
        </w:rPr>
        <w:t>3、</w:t>
      </w:r>
      <w:r w:rsidRPr="008D371B">
        <w:rPr>
          <w:rFonts w:ascii="宋体" w:eastAsia="宋体" w:hAnsi="宋体"/>
          <w:sz w:val="28"/>
          <w:szCs w:val="28"/>
        </w:rPr>
        <w:t>项目施工人员需配备足够的高压电工，且持有有效的特种作业操作证（高压电工证）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520423A" w14:textId="2E803855" w:rsidR="008D371B" w:rsidRPr="00DD665F" w:rsidRDefault="008D371B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DD2AE1" w:rsidRPr="00DD2AE1">
        <w:rPr>
          <w:rFonts w:ascii="宋体" w:eastAsia="宋体" w:hAnsi="宋体"/>
          <w:sz w:val="28"/>
          <w:szCs w:val="28"/>
        </w:rPr>
        <w:t>投标单位须</w:t>
      </w:r>
      <w:r w:rsidR="00DD2AE1" w:rsidRPr="00DD2AE1">
        <w:rPr>
          <w:rFonts w:ascii="宋体" w:eastAsia="宋体" w:hAnsi="宋体" w:hint="eastAsia"/>
          <w:sz w:val="28"/>
          <w:szCs w:val="28"/>
        </w:rPr>
        <w:t>提供近 3 年内完成过同类配电设备更换或配电站维修的项目业绩证明，如项目合同、竣工验收报告等。</w:t>
      </w:r>
    </w:p>
    <w:p w14:paraId="5A20A874" w14:textId="789CD64F" w:rsidR="008B3EE0" w:rsidRPr="00E7184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bookmarkStart w:id="1" w:name="OLE_LINK2"/>
      <w:r w:rsidRPr="00E71841">
        <w:rPr>
          <w:rFonts w:ascii="宋体" w:eastAsia="宋体" w:hAnsi="宋体" w:hint="eastAsia"/>
          <w:sz w:val="28"/>
          <w:szCs w:val="28"/>
        </w:rPr>
        <w:t>5</w:t>
      </w:r>
      <w:r w:rsidR="008B3EE0" w:rsidRPr="00E71841">
        <w:rPr>
          <w:rFonts w:ascii="宋体" w:eastAsia="宋体" w:hAnsi="宋体" w:hint="eastAsia"/>
          <w:sz w:val="28"/>
          <w:szCs w:val="28"/>
        </w:rPr>
        <w:t>、</w:t>
      </w:r>
      <w:r w:rsidR="008D371B" w:rsidRPr="00E71841">
        <w:rPr>
          <w:rFonts w:ascii="宋体" w:eastAsia="宋体" w:hAnsi="宋体"/>
          <w:sz w:val="28"/>
          <w:szCs w:val="28"/>
        </w:rPr>
        <w:t>投标单位须按要求</w:t>
      </w:r>
      <w:proofErr w:type="gramStart"/>
      <w:r w:rsidR="008D371B" w:rsidRPr="00E71841">
        <w:rPr>
          <w:rFonts w:ascii="宋体" w:eastAsia="宋体" w:hAnsi="宋体"/>
          <w:sz w:val="28"/>
          <w:szCs w:val="28"/>
        </w:rPr>
        <w:t>赴项目</w:t>
      </w:r>
      <w:proofErr w:type="gramEnd"/>
      <w:r w:rsidR="008D371B" w:rsidRPr="00E71841">
        <w:rPr>
          <w:rFonts w:ascii="宋体" w:eastAsia="宋体" w:hAnsi="宋体"/>
          <w:sz w:val="28"/>
          <w:szCs w:val="28"/>
        </w:rPr>
        <w:t>现场进行踏勘，充分了解并核实现</w:t>
      </w:r>
      <w:r w:rsidR="008D371B" w:rsidRPr="00E71841">
        <w:rPr>
          <w:rFonts w:ascii="宋体" w:eastAsia="宋体" w:hAnsi="宋体"/>
          <w:sz w:val="28"/>
          <w:szCs w:val="28"/>
        </w:rPr>
        <w:lastRenderedPageBreak/>
        <w:t>场实际条件与相关环境参数，所投产品必须与配电站现有设备的型号规格完全匹配，满足项目运行的技术要求</w:t>
      </w:r>
      <w:r w:rsidR="008D371B" w:rsidRPr="00E71841">
        <w:rPr>
          <w:rFonts w:ascii="宋体" w:eastAsia="宋体" w:hAnsi="宋体" w:hint="eastAsia"/>
          <w:sz w:val="28"/>
          <w:szCs w:val="28"/>
        </w:rPr>
        <w:t>。</w:t>
      </w:r>
    </w:p>
    <w:p w14:paraId="75E550FA" w14:textId="5D2D405E" w:rsidR="008D371B" w:rsidRPr="00E7184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E71841">
        <w:rPr>
          <w:rFonts w:ascii="宋体" w:eastAsia="宋体" w:hAnsi="宋体" w:hint="eastAsia"/>
          <w:sz w:val="28"/>
          <w:szCs w:val="28"/>
        </w:rPr>
        <w:t>6</w:t>
      </w:r>
      <w:r w:rsidR="008D371B" w:rsidRPr="00E71841">
        <w:rPr>
          <w:rFonts w:ascii="宋体" w:eastAsia="宋体" w:hAnsi="宋体" w:hint="eastAsia"/>
          <w:sz w:val="28"/>
          <w:szCs w:val="28"/>
        </w:rPr>
        <w:t>、本项目不接受联合体投标。</w:t>
      </w:r>
    </w:p>
    <w:bookmarkEnd w:id="1"/>
    <w:p w14:paraId="54FCB1B1" w14:textId="373BA4DA" w:rsidR="00845883" w:rsidRPr="008B3EE0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8B3EE0">
        <w:rPr>
          <w:rFonts w:ascii="宋体" w:eastAsia="宋体" w:hAnsi="宋体" w:hint="eastAsia"/>
          <w:b/>
          <w:bCs/>
          <w:sz w:val="28"/>
          <w:szCs w:val="28"/>
        </w:rPr>
        <w:t>七、工程量清单：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1559"/>
        <w:gridCol w:w="2835"/>
      </w:tblGrid>
      <w:tr w:rsidR="006775A8" w:rsidRPr="00DD665F" w14:paraId="5B7A92AA" w14:textId="77777777" w:rsidTr="006775A8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9B95" w14:textId="3CBE9CEF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532F" w14:textId="49D1F86F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规格/名称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F177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2F55" w14:textId="0C3458EF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72357A" w14:textId="5B49BFF0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D665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:rsidR="006775A8" w:rsidRPr="00DD665F" w14:paraId="0187CBF5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D706" w14:textId="77975982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5BA7" w14:textId="58417420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电容 30KVFA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B9D" w14:textId="77777777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3DD8" w14:textId="4F446F43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74EBD2" w14:textId="685FA7B3" w:rsidR="006775A8" w:rsidRPr="00DD665F" w:rsidRDefault="006775A8" w:rsidP="006775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/>
                <w:sz w:val="28"/>
                <w:szCs w:val="28"/>
              </w:rPr>
              <w:t>上海依顿</w:t>
            </w:r>
          </w:p>
        </w:tc>
      </w:tr>
      <w:tr w:rsidR="006775A8" w:rsidRPr="00DD665F" w14:paraId="21476E0B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484" w14:textId="0451C485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225C" w14:textId="0159FD34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接触器 50BC 63A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11A5" w14:textId="77777777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AD4E" w14:textId="0F6D3E27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BC3CAC9" w14:textId="38B15FCF" w:rsidR="006775A8" w:rsidRPr="00DD665F" w:rsidRDefault="006775A8" w:rsidP="006775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/>
                <w:sz w:val="28"/>
                <w:szCs w:val="28"/>
              </w:rPr>
              <w:t>上海人民</w:t>
            </w:r>
          </w:p>
        </w:tc>
      </w:tr>
      <w:tr w:rsidR="006775A8" w:rsidRPr="00DD665F" w14:paraId="6DCEB023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FA4" w14:textId="4FECD232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A90" w14:textId="53EFD7A0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熔丝 RT0  63A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137E" w14:textId="77777777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7FB3" w14:textId="6CF6055A" w:rsidR="006775A8" w:rsidRPr="00DD665F" w:rsidRDefault="006775A8" w:rsidP="006775A8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C94E53" w14:textId="07B5639E" w:rsidR="006775A8" w:rsidRPr="00DD665F" w:rsidRDefault="006775A8" w:rsidP="006775A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/>
                <w:sz w:val="28"/>
                <w:szCs w:val="28"/>
              </w:rPr>
              <w:t>上海电瓷厂</w:t>
            </w:r>
          </w:p>
        </w:tc>
      </w:tr>
      <w:tr w:rsidR="006775A8" w:rsidRPr="00DD665F" w14:paraId="67C58A23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40D2" w14:textId="4B48A4A0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191D" w14:textId="51092A3D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电容 30KVFA安装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844AD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8433" w14:textId="35384DD3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22CAAA" w14:textId="22396A3A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1E2E828F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9AB" w14:textId="3CE06D82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4B44" w14:textId="7011B03F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接触器安装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2E6A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99FC" w14:textId="4C0E6281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27BA9A" w14:textId="47EE2371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05C23092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FD4" w14:textId="08D5F6D6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6EE7" w14:textId="22B3EDD5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熔丝RT063A安装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94A6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5A2D" w14:textId="5BF9C0C6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3BF8BC" w14:textId="04254AD7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07B99E5D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F3FC" w14:textId="136B24B8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1694" w14:textId="05ACF4DA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二次接线（控制小线）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CE75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3C2A" w14:textId="32F4F4AC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640FA9" w14:textId="30014A80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2A14F340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F5B" w14:textId="106C6A6F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12B3" w14:textId="6551EB81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电容</w:t>
            </w:r>
            <w:proofErr w:type="gramStart"/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柜系统</w:t>
            </w:r>
            <w:proofErr w:type="gramEnd"/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50B7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67B5" w14:textId="7A5B3A81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49AA3E" w14:textId="456F0E56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2271AAC6" w14:textId="77777777" w:rsidTr="006775A8">
        <w:trPr>
          <w:trHeight w:val="7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CCCB" w14:textId="2A3BD1A8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B938" w14:textId="19BC4138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辅料（铜接头、扎带、导电膏、电线等)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3A17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464B" w14:textId="18E066C5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87FFEA" w14:textId="3157DD1B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3A4DA1AE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CC6" w14:textId="5D886ACC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495" w14:textId="46A38494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台班费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B4359" w14:textId="77777777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台班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373B2" w14:textId="73D34970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665F"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6BCABD" w14:textId="383F70D3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6775A8" w:rsidRPr="00DD665F" w14:paraId="055F58B6" w14:textId="77777777" w:rsidTr="006775A8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6144" w14:textId="2FD27BC6" w:rsidR="006775A8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9E7" w14:textId="35DB00CE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安全措施费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48B4" w14:textId="6D576D05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4"/>
                <w:szCs w:val="24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20FE8" w14:textId="2DBAABA4" w:rsidR="006775A8" w:rsidRPr="00DD665F" w:rsidRDefault="006775A8" w:rsidP="00DD665F">
            <w:pPr>
              <w:widowControl/>
              <w:jc w:val="center"/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兰亭超细黑简体" w:eastAsia="方正兰亭超细黑简体" w:hAnsi="宋体" w:cs="宋体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B4B3B7" w14:textId="77777777" w:rsidR="006775A8" w:rsidRPr="00DD665F" w:rsidRDefault="006775A8" w:rsidP="00DD665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DF84396" w14:textId="093B3B95" w:rsidR="002E7FBF" w:rsidRDefault="002E7FBF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 w:rsidRPr="00E71841">
        <w:rPr>
          <w:rFonts w:ascii="宋体" w:eastAsia="宋体" w:hAnsi="宋体" w:hint="eastAsia"/>
          <w:sz w:val="28"/>
          <w:szCs w:val="28"/>
        </w:rPr>
        <w:t>报价中包含（但不限于）材料、运输、装卸（同时自行考虑现场装卸措施）、安装、调试、检验、检测、现场保管、水电使用、</w:t>
      </w:r>
      <w:proofErr w:type="gramStart"/>
      <w:r w:rsidRPr="00E71841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E71841">
        <w:rPr>
          <w:rFonts w:ascii="宋体" w:eastAsia="宋体" w:hAnsi="宋体" w:hint="eastAsia"/>
          <w:sz w:val="28"/>
          <w:szCs w:val="28"/>
        </w:rPr>
        <w:t>费、税金以及质</w:t>
      </w:r>
      <w:proofErr w:type="gramStart"/>
      <w:r w:rsidRPr="00E71841">
        <w:rPr>
          <w:rFonts w:ascii="宋体" w:eastAsia="宋体" w:hAnsi="宋体" w:hint="eastAsia"/>
          <w:sz w:val="28"/>
          <w:szCs w:val="28"/>
        </w:rPr>
        <w:t>保期间</w:t>
      </w:r>
      <w:proofErr w:type="gramEnd"/>
      <w:r w:rsidRPr="00E71841">
        <w:rPr>
          <w:rFonts w:ascii="宋体" w:eastAsia="宋体" w:hAnsi="宋体" w:hint="eastAsia"/>
          <w:sz w:val="28"/>
          <w:szCs w:val="28"/>
        </w:rPr>
        <w:t>内发生的一切费用（甲方原因造成的除外）。</w:t>
      </w:r>
    </w:p>
    <w:p w14:paraId="25CC1956" w14:textId="77777777" w:rsidR="00596982" w:rsidRPr="00E71841" w:rsidRDefault="00596982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</w:p>
    <w:p w14:paraId="2D7F58CB" w14:textId="20A64385" w:rsidR="00845883" w:rsidRPr="00E71841" w:rsidRDefault="00845883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DD2AE1">
        <w:rPr>
          <w:rFonts w:ascii="宋体" w:eastAsia="宋体" w:hAnsi="宋体" w:hint="eastAsia"/>
          <w:b/>
          <w:bCs/>
          <w:sz w:val="28"/>
          <w:szCs w:val="28"/>
        </w:rPr>
        <w:t>八、技术要求</w:t>
      </w:r>
      <w:r w:rsidRPr="00E71841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186045FB" w14:textId="455CB2D4" w:rsidR="00DD2AE1" w:rsidRPr="00DD2AE1" w:rsidRDefault="00DD2AE1" w:rsidP="00DD2AE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C619AC">
        <w:rPr>
          <w:rFonts w:ascii="宋体" w:eastAsia="宋体" w:hAnsi="宋体" w:hint="eastAsia"/>
          <w:b/>
          <w:bCs/>
          <w:sz w:val="28"/>
          <w:szCs w:val="28"/>
        </w:rPr>
        <w:lastRenderedPageBreak/>
        <w:t>1</w:t>
      </w:r>
      <w:r w:rsidRPr="00DD2AE1">
        <w:rPr>
          <w:rFonts w:ascii="宋体" w:eastAsia="宋体" w:hAnsi="宋体"/>
          <w:b/>
          <w:bCs/>
          <w:sz w:val="28"/>
          <w:szCs w:val="28"/>
        </w:rPr>
        <w:t>、总则</w:t>
      </w:r>
    </w:p>
    <w:p w14:paraId="40697E22" w14:textId="16B15A6B" w:rsidR="00DD2AE1" w:rsidRPr="00DD2AE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Pr="00DD2AE1">
        <w:rPr>
          <w:rFonts w:ascii="宋体" w:eastAsia="宋体" w:hAnsi="宋体"/>
          <w:sz w:val="28"/>
          <w:szCs w:val="28"/>
        </w:rPr>
        <w:t>本技术要求适用于学校第三、四号配电站电容补偿柜内老化、鼓包、漏油故障电容</w:t>
      </w:r>
      <w:r w:rsidR="002E7FBF">
        <w:rPr>
          <w:rFonts w:ascii="宋体" w:eastAsia="宋体" w:hAnsi="宋体" w:hint="eastAsia"/>
          <w:sz w:val="28"/>
          <w:szCs w:val="28"/>
        </w:rPr>
        <w:t>及其他设备</w:t>
      </w:r>
      <w:r w:rsidRPr="00DD2AE1">
        <w:rPr>
          <w:rFonts w:ascii="宋体" w:eastAsia="宋体" w:hAnsi="宋体"/>
          <w:sz w:val="28"/>
          <w:szCs w:val="28"/>
        </w:rPr>
        <w:t>的更换及相关调试工作，旨在恢复电容补偿柜的无功补偿功能，保障配电站及全校供电系统的稳定、安全运行。</w:t>
      </w:r>
    </w:p>
    <w:p w14:paraId="2A18B0ED" w14:textId="6CE7E57A" w:rsidR="00DD2AE1" w:rsidRPr="00DD2AE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Pr="00DD2AE1">
        <w:rPr>
          <w:rFonts w:ascii="宋体" w:eastAsia="宋体" w:hAnsi="宋体"/>
          <w:sz w:val="28"/>
          <w:szCs w:val="28"/>
        </w:rPr>
        <w:t>更换的电容</w:t>
      </w:r>
      <w:r w:rsidR="00C619AC">
        <w:rPr>
          <w:rFonts w:ascii="宋体" w:eastAsia="宋体" w:hAnsi="宋体" w:hint="eastAsia"/>
          <w:sz w:val="28"/>
          <w:szCs w:val="28"/>
        </w:rPr>
        <w:t>、接触器</w:t>
      </w:r>
      <w:r w:rsidRPr="00DD2AE1">
        <w:rPr>
          <w:rFonts w:ascii="宋体" w:eastAsia="宋体" w:hAnsi="宋体"/>
          <w:sz w:val="28"/>
          <w:szCs w:val="28"/>
        </w:rPr>
        <w:t>及相关辅材必须符合国家现行标准（如《并联电容器装置设计规范》GB 50227、《电力电容器 第 1 部分：总则》GB/T 11021）及行业规范要求，优先选用与原柜型匹配、市场口碑良好的品牌产品。</w:t>
      </w:r>
    </w:p>
    <w:p w14:paraId="10482E05" w14:textId="3C84768C" w:rsidR="00DD2AE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DD2AE1">
        <w:rPr>
          <w:rFonts w:ascii="宋体" w:eastAsia="宋体" w:hAnsi="宋体"/>
          <w:sz w:val="28"/>
          <w:szCs w:val="28"/>
        </w:rPr>
        <w:t>施工单位需具备相应资质，施工人员必须持证上岗，并严格遵守学校施工现场安全管理规定及电力作业安全规程。</w:t>
      </w:r>
    </w:p>
    <w:p w14:paraId="47883528" w14:textId="783B0758" w:rsidR="00DD2AE1" w:rsidRPr="00DD2AE1" w:rsidRDefault="00DD2AE1" w:rsidP="00E7184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42317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DD2AE1">
        <w:rPr>
          <w:rFonts w:ascii="宋体" w:eastAsia="宋体" w:hAnsi="宋体"/>
          <w:b/>
          <w:bCs/>
          <w:sz w:val="28"/>
          <w:szCs w:val="28"/>
        </w:rPr>
        <w:t>、</w:t>
      </w:r>
      <w:r w:rsidR="00E42317">
        <w:rPr>
          <w:rFonts w:ascii="宋体" w:eastAsia="宋体" w:hAnsi="宋体" w:hint="eastAsia"/>
          <w:b/>
          <w:bCs/>
          <w:sz w:val="28"/>
          <w:szCs w:val="28"/>
        </w:rPr>
        <w:t>设备技术</w:t>
      </w:r>
      <w:r w:rsidRPr="00DD2AE1">
        <w:rPr>
          <w:rFonts w:ascii="宋体" w:eastAsia="宋体" w:hAnsi="宋体"/>
          <w:b/>
          <w:bCs/>
          <w:sz w:val="28"/>
          <w:szCs w:val="28"/>
        </w:rPr>
        <w:t>要求</w:t>
      </w:r>
    </w:p>
    <w:p w14:paraId="4F6C2090" w14:textId="4F8809C0" w:rsidR="00DD2AE1" w:rsidRPr="00DD2AE1" w:rsidRDefault="00DD2AE1" w:rsidP="00E7184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42317">
        <w:rPr>
          <w:rFonts w:ascii="宋体" w:eastAsia="宋体" w:hAnsi="宋体" w:hint="eastAsia"/>
          <w:b/>
          <w:bCs/>
          <w:sz w:val="28"/>
          <w:szCs w:val="28"/>
        </w:rPr>
        <w:t>（1）</w:t>
      </w:r>
      <w:r w:rsidR="00E42317">
        <w:rPr>
          <w:rFonts w:ascii="宋体" w:eastAsia="宋体" w:hAnsi="宋体" w:hint="eastAsia"/>
          <w:b/>
          <w:bCs/>
          <w:sz w:val="28"/>
          <w:szCs w:val="28"/>
        </w:rPr>
        <w:t>电容（30KVAR）</w:t>
      </w:r>
    </w:p>
    <w:p w14:paraId="022A16C6" w14:textId="31454454" w:rsidR="00DD2AE1" w:rsidRPr="00DD2AE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</w:t>
      </w:r>
      <w:r w:rsidRPr="00DD2AE1">
        <w:rPr>
          <w:rFonts w:ascii="宋体" w:eastAsia="宋体" w:hAnsi="宋体"/>
          <w:sz w:val="28"/>
          <w:szCs w:val="28"/>
        </w:rPr>
        <w:t>新电容的额定电压、额定容量、额定频率必须与原电容补偿柜的设计参数及系统运行参数完全一致，确保与柜内电抗器、熔断器、投切开关等元件兼容。</w:t>
      </w:r>
    </w:p>
    <w:p w14:paraId="23B850F8" w14:textId="495B24B1" w:rsidR="00DD2AE1" w:rsidRPr="00DD2AE1" w:rsidRDefault="00DD2AE1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 w:rsidRPr="00DD2AE1">
        <w:rPr>
          <w:rFonts w:ascii="宋体" w:eastAsia="宋体" w:hAnsi="宋体"/>
          <w:sz w:val="28"/>
          <w:szCs w:val="28"/>
        </w:rPr>
        <w:t>电容的相数、接线方式需与原设备保持一致，满足三相平衡补偿或分相补偿的运行需求。</w:t>
      </w:r>
    </w:p>
    <w:p w14:paraId="357B18AF" w14:textId="1E740A7E" w:rsidR="00DD2AE1" w:rsidRPr="00DD2AE1" w:rsidRDefault="00E42317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</w:t>
      </w:r>
      <w:r w:rsidR="00DD2AE1" w:rsidRPr="00DD2AE1">
        <w:rPr>
          <w:rFonts w:ascii="宋体" w:eastAsia="宋体" w:hAnsi="宋体"/>
          <w:sz w:val="28"/>
          <w:szCs w:val="28"/>
        </w:rPr>
        <w:t>电容介质损耗角正切值（</w:t>
      </w:r>
      <w:proofErr w:type="spellStart"/>
      <w:r w:rsidR="00DD2AE1" w:rsidRPr="00DD2AE1">
        <w:rPr>
          <w:rFonts w:ascii="宋体" w:eastAsia="宋体" w:hAnsi="宋体"/>
          <w:sz w:val="28"/>
          <w:szCs w:val="28"/>
        </w:rPr>
        <w:t>tanδ</w:t>
      </w:r>
      <w:proofErr w:type="spellEnd"/>
      <w:r w:rsidR="00DD2AE1" w:rsidRPr="00DD2AE1">
        <w:rPr>
          <w:rFonts w:ascii="宋体" w:eastAsia="宋体" w:hAnsi="宋体"/>
          <w:sz w:val="28"/>
          <w:szCs w:val="28"/>
        </w:rPr>
        <w:t>）需符合国家标准，在额定电压、额定频率下运行时数值稳定且处于较低水平。</w:t>
      </w:r>
    </w:p>
    <w:p w14:paraId="4E6EC56B" w14:textId="3053A21D" w:rsidR="00DD2AE1" w:rsidRPr="00DD2AE1" w:rsidRDefault="00E42317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④</w:t>
      </w:r>
      <w:r w:rsidR="00DD2AE1" w:rsidRPr="00DD2AE1">
        <w:rPr>
          <w:rFonts w:ascii="宋体" w:eastAsia="宋体" w:hAnsi="宋体"/>
          <w:sz w:val="28"/>
          <w:szCs w:val="28"/>
        </w:rPr>
        <w:t>具备良好的过电压、过电流耐受能力，能适应电网电压波动及负载变化带来的冲击。</w:t>
      </w:r>
    </w:p>
    <w:p w14:paraId="0A987D88" w14:textId="0913B2B1" w:rsidR="00DD2AE1" w:rsidRPr="00DD2AE1" w:rsidRDefault="00E42317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⑤</w:t>
      </w:r>
      <w:r w:rsidR="00DD2AE1" w:rsidRPr="00DD2AE1">
        <w:rPr>
          <w:rFonts w:ascii="宋体" w:eastAsia="宋体" w:hAnsi="宋体"/>
          <w:sz w:val="28"/>
          <w:szCs w:val="28"/>
        </w:rPr>
        <w:t>内部采用优质绝缘介质，绝缘电阻</w:t>
      </w:r>
      <w:proofErr w:type="gramStart"/>
      <w:r w:rsidR="00DD2AE1" w:rsidRPr="00DD2AE1">
        <w:rPr>
          <w:rFonts w:ascii="宋体" w:eastAsia="宋体" w:hAnsi="宋体"/>
          <w:sz w:val="28"/>
          <w:szCs w:val="28"/>
        </w:rPr>
        <w:t>值符合</w:t>
      </w:r>
      <w:proofErr w:type="gramEnd"/>
      <w:r w:rsidR="00DD2AE1" w:rsidRPr="00DD2AE1">
        <w:rPr>
          <w:rFonts w:ascii="宋体" w:eastAsia="宋体" w:hAnsi="宋体"/>
          <w:sz w:val="28"/>
          <w:szCs w:val="28"/>
        </w:rPr>
        <w:t>规范要求，无局部放电现象。</w:t>
      </w:r>
    </w:p>
    <w:p w14:paraId="17146DDA" w14:textId="13E2CAFC" w:rsidR="00DD2AE1" w:rsidRDefault="00DD2AE1" w:rsidP="00E7184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E42317">
        <w:rPr>
          <w:rFonts w:ascii="宋体" w:eastAsia="宋体" w:hAnsi="宋体" w:hint="eastAsia"/>
          <w:b/>
          <w:bCs/>
          <w:sz w:val="28"/>
          <w:szCs w:val="28"/>
        </w:rPr>
        <w:t>（</w:t>
      </w:r>
      <w:r w:rsidR="00E42317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E42317">
        <w:rPr>
          <w:rFonts w:ascii="宋体" w:eastAsia="宋体" w:hAnsi="宋体" w:hint="eastAsia"/>
          <w:b/>
          <w:bCs/>
          <w:sz w:val="28"/>
          <w:szCs w:val="28"/>
        </w:rPr>
        <w:t>）</w:t>
      </w:r>
      <w:r w:rsidR="00E42317" w:rsidRPr="00E42317">
        <w:rPr>
          <w:rFonts w:ascii="宋体" w:eastAsia="宋体" w:hAnsi="宋体" w:hint="eastAsia"/>
          <w:b/>
          <w:bCs/>
          <w:sz w:val="28"/>
          <w:szCs w:val="28"/>
        </w:rPr>
        <w:t>接触器（50BC-63A）</w:t>
      </w:r>
    </w:p>
    <w:p w14:paraId="6F20AB42" w14:textId="6D11DEED" w:rsidR="00C619AC" w:rsidRPr="00C619AC" w:rsidRDefault="00C619AC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①</w:t>
      </w:r>
      <w:r w:rsidRPr="00C619AC">
        <w:rPr>
          <w:rFonts w:ascii="宋体" w:eastAsia="宋体" w:hAnsi="宋体" w:hint="eastAsia"/>
          <w:sz w:val="28"/>
          <w:szCs w:val="28"/>
        </w:rPr>
        <w:t>参数匹配：主回路额定电压 380V、额定电流 63A，控制回路电压与原补偿柜控制器一致（如 AC220V/DC24V），操作频率≥120 次 / 小时。</w:t>
      </w:r>
    </w:p>
    <w:p w14:paraId="5356F624" w14:textId="61A21000" w:rsidR="00C619AC" w:rsidRPr="00C619AC" w:rsidRDefault="00C619AC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 w:rsidRPr="00C619AC">
        <w:rPr>
          <w:rFonts w:ascii="宋体" w:eastAsia="宋体" w:hAnsi="宋体" w:hint="eastAsia"/>
          <w:sz w:val="28"/>
          <w:szCs w:val="28"/>
        </w:rPr>
        <w:t>性能要求：主触点为银合金材质，机械寿命≥100 万次、电寿命≥20 万次，</w:t>
      </w:r>
      <w:proofErr w:type="gramStart"/>
      <w:r w:rsidRPr="00C619AC">
        <w:rPr>
          <w:rFonts w:ascii="宋体" w:eastAsia="宋体" w:hAnsi="宋体" w:hint="eastAsia"/>
          <w:sz w:val="28"/>
          <w:szCs w:val="28"/>
        </w:rPr>
        <w:t>带灭弧</w:t>
      </w:r>
      <w:proofErr w:type="gramEnd"/>
      <w:r w:rsidRPr="00C619AC">
        <w:rPr>
          <w:rFonts w:ascii="宋体" w:eastAsia="宋体" w:hAnsi="宋体" w:hint="eastAsia"/>
          <w:sz w:val="28"/>
          <w:szCs w:val="28"/>
        </w:rPr>
        <w:t>罩（防护等级 IP20）及浪涌抑制装置，具备状态指示触点。</w:t>
      </w:r>
    </w:p>
    <w:p w14:paraId="2F885F70" w14:textId="214CAB0A" w:rsidR="00E42317" w:rsidRDefault="00C619AC" w:rsidP="00E71841">
      <w:pPr>
        <w:spacing w:line="520" w:lineRule="exact"/>
        <w:ind w:leftChars="14" w:left="29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③</w:t>
      </w:r>
      <w:r w:rsidRPr="00C619AC">
        <w:rPr>
          <w:rFonts w:ascii="宋体" w:eastAsia="宋体" w:hAnsi="宋体" w:hint="eastAsia"/>
          <w:sz w:val="28"/>
          <w:szCs w:val="28"/>
        </w:rPr>
        <w:t>安装要求：安装尺寸与原柜支架完全适配，接线端子防松脱，主回路采用铜鼻子压接，导线截面≥10mm²。</w:t>
      </w:r>
    </w:p>
    <w:p w14:paraId="10520743" w14:textId="61C2F8F7" w:rsidR="00C619AC" w:rsidRPr="00C619AC" w:rsidRDefault="00C619AC" w:rsidP="00E71841">
      <w:pPr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（3）</w:t>
      </w:r>
      <w:r w:rsidRPr="00C619AC">
        <w:rPr>
          <w:rFonts w:ascii="宋体" w:eastAsia="宋体" w:hAnsi="宋体"/>
          <w:b/>
          <w:bCs/>
          <w:sz w:val="28"/>
          <w:szCs w:val="28"/>
        </w:rPr>
        <w:t>熔丝（RT0-63A）</w:t>
      </w:r>
    </w:p>
    <w:p w14:paraId="35ED4A77" w14:textId="643BA046" w:rsidR="00C619AC" w:rsidRPr="00C619AC" w:rsidRDefault="00C619AC" w:rsidP="00E71841">
      <w:pPr>
        <w:spacing w:line="520" w:lineRule="exact"/>
        <w:ind w:leftChars="43" w:left="90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</w:t>
      </w:r>
      <w:r w:rsidRPr="00C619AC">
        <w:rPr>
          <w:rFonts w:ascii="宋体" w:eastAsia="宋体" w:hAnsi="宋体"/>
          <w:sz w:val="28"/>
          <w:szCs w:val="28"/>
        </w:rPr>
        <w:t>类型要求：电容器专用熔断器，额定电压 380V、额定电流 63A，分断能力≥50kA，熔体为高纯度银质材料，具备熔断指示功能。</w:t>
      </w:r>
    </w:p>
    <w:p w14:paraId="6B4E88C0" w14:textId="5E8090BE" w:rsidR="00C619AC" w:rsidRPr="00C619AC" w:rsidRDefault="00C619AC" w:rsidP="00E71841">
      <w:pPr>
        <w:spacing w:line="520" w:lineRule="exact"/>
        <w:ind w:leftChars="43" w:left="90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 w:rsidRPr="00C619AC">
        <w:rPr>
          <w:rFonts w:ascii="宋体" w:eastAsia="宋体" w:hAnsi="宋体"/>
          <w:sz w:val="28"/>
          <w:szCs w:val="28"/>
        </w:rPr>
        <w:t xml:space="preserve">匹配要求：熔体额定电流为对应电容额定电流的 1.3~1.5 </w:t>
      </w:r>
      <w:proofErr w:type="gramStart"/>
      <w:r w:rsidRPr="00C619AC">
        <w:rPr>
          <w:rFonts w:ascii="宋体" w:eastAsia="宋体" w:hAnsi="宋体"/>
          <w:sz w:val="28"/>
          <w:szCs w:val="28"/>
        </w:rPr>
        <w:t>倍</w:t>
      </w:r>
      <w:proofErr w:type="gramEnd"/>
      <w:r w:rsidRPr="00C619AC">
        <w:rPr>
          <w:rFonts w:ascii="宋体" w:eastAsia="宋体" w:hAnsi="宋体"/>
          <w:sz w:val="28"/>
          <w:szCs w:val="28"/>
        </w:rPr>
        <w:t>，熔断器本体与原柜安装接口兼容。</w:t>
      </w:r>
    </w:p>
    <w:p w14:paraId="6CDA2A87" w14:textId="718811C4" w:rsidR="00C619AC" w:rsidRPr="00C619AC" w:rsidRDefault="00C619AC" w:rsidP="00E71841">
      <w:pPr>
        <w:rPr>
          <w:rFonts w:ascii="宋体" w:eastAsia="宋体" w:hAnsi="宋体" w:hint="eastAsia"/>
          <w:b/>
          <w:bCs/>
          <w:sz w:val="28"/>
          <w:szCs w:val="28"/>
        </w:rPr>
      </w:pPr>
      <w:r w:rsidRPr="00C619AC">
        <w:rPr>
          <w:rFonts w:ascii="宋体" w:eastAsia="宋体" w:hAnsi="宋体" w:hint="eastAsia"/>
          <w:b/>
          <w:bCs/>
          <w:sz w:val="28"/>
          <w:szCs w:val="28"/>
        </w:rPr>
        <w:t>（4）电容</w:t>
      </w:r>
      <w:proofErr w:type="gramStart"/>
      <w:r w:rsidRPr="00C619AC">
        <w:rPr>
          <w:rFonts w:ascii="宋体" w:eastAsia="宋体" w:hAnsi="宋体" w:hint="eastAsia"/>
          <w:b/>
          <w:bCs/>
          <w:sz w:val="28"/>
          <w:szCs w:val="28"/>
        </w:rPr>
        <w:t>柜系统</w:t>
      </w:r>
      <w:proofErr w:type="gramEnd"/>
      <w:r w:rsidRPr="00C619AC">
        <w:rPr>
          <w:rFonts w:ascii="宋体" w:eastAsia="宋体" w:hAnsi="宋体" w:hint="eastAsia"/>
          <w:b/>
          <w:bCs/>
          <w:sz w:val="28"/>
          <w:szCs w:val="28"/>
        </w:rPr>
        <w:t>调试</w:t>
      </w:r>
    </w:p>
    <w:p w14:paraId="089E6E43" w14:textId="2385FBBE" w:rsidR="00C619AC" w:rsidRPr="00C619AC" w:rsidRDefault="00C619AC" w:rsidP="00E71841">
      <w:pPr>
        <w:spacing w:line="520" w:lineRule="exact"/>
        <w:ind w:leftChars="43" w:left="90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①</w:t>
      </w:r>
      <w:r w:rsidRPr="00C619AC">
        <w:rPr>
          <w:rFonts w:ascii="宋体" w:eastAsia="宋体" w:hAnsi="宋体" w:hint="eastAsia"/>
          <w:sz w:val="28"/>
          <w:szCs w:val="28"/>
        </w:rPr>
        <w:t>单体调试：测试每台电容绝缘电阻、每台接触器动作及触点电阻、每只熔丝导通性，均符合标准。</w:t>
      </w:r>
    </w:p>
    <w:p w14:paraId="63393FEE" w14:textId="42A6CC20" w:rsidR="00C619AC" w:rsidRPr="00DD2AE1" w:rsidRDefault="00C619AC" w:rsidP="00E71841">
      <w:pPr>
        <w:spacing w:line="520" w:lineRule="exact"/>
        <w:ind w:leftChars="43" w:left="90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 w:rsidRPr="00C619AC">
        <w:rPr>
          <w:rFonts w:ascii="宋体" w:eastAsia="宋体" w:hAnsi="宋体" w:hint="eastAsia"/>
          <w:sz w:val="28"/>
          <w:szCs w:val="28"/>
        </w:rPr>
        <w:t>联动调试：空载投切接触器，确认动作可靠；带负载运行时，监测功率因数稳定在 0.9~0.95，电容电流、电压正常；模拟故障时，熔丝能快速熔断保护。</w:t>
      </w:r>
    </w:p>
    <w:p w14:paraId="7A4FC29C" w14:textId="27F3FE30" w:rsidR="00C619AC" w:rsidRPr="00DD2AE1" w:rsidRDefault="00C619AC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九</w:t>
      </w:r>
      <w:r w:rsidRPr="00DD2AE1">
        <w:rPr>
          <w:rFonts w:ascii="宋体" w:eastAsia="宋体" w:hAnsi="宋体"/>
          <w:b/>
          <w:bCs/>
          <w:sz w:val="28"/>
          <w:szCs w:val="28"/>
        </w:rPr>
        <w:t>、</w:t>
      </w:r>
      <w:r w:rsidRPr="00C619AC">
        <w:rPr>
          <w:rFonts w:ascii="宋体" w:eastAsia="宋体" w:hAnsi="宋体"/>
          <w:b/>
          <w:bCs/>
          <w:sz w:val="28"/>
          <w:szCs w:val="28"/>
        </w:rPr>
        <w:t>验收与质保</w:t>
      </w:r>
    </w:p>
    <w:p w14:paraId="5F3F7E3F" w14:textId="6781A0FC" w:rsidR="00C619AC" w:rsidRPr="00C619AC" w:rsidRDefault="00C619AC" w:rsidP="00E71841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C619AC">
        <w:rPr>
          <w:rFonts w:ascii="宋体" w:eastAsia="宋体" w:hAnsi="宋体"/>
          <w:sz w:val="28"/>
          <w:szCs w:val="28"/>
        </w:rPr>
        <w:t>竣工需提供设备合格证、检测报告、施工记录、调试报告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537BA08C" w14:textId="5559BB06" w:rsidR="00DD2AE1" w:rsidRDefault="00C619AC" w:rsidP="00E71841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Pr="00C619AC">
        <w:rPr>
          <w:rFonts w:ascii="宋体" w:eastAsia="宋体" w:hAnsi="宋体" w:hint="eastAsia"/>
          <w:sz w:val="28"/>
          <w:szCs w:val="28"/>
          <w:highlight w:val="yellow"/>
        </w:rPr>
        <w:t>本项目更换的全部设备</w:t>
      </w:r>
      <w:r w:rsidRPr="00C619AC">
        <w:rPr>
          <w:rFonts w:ascii="宋体" w:eastAsia="宋体" w:hAnsi="宋体"/>
          <w:sz w:val="28"/>
          <w:szCs w:val="28"/>
          <w:highlight w:val="yellow"/>
        </w:rPr>
        <w:t>质保</w:t>
      </w:r>
      <w:r w:rsidRPr="00C619AC">
        <w:rPr>
          <w:rFonts w:ascii="宋体" w:eastAsia="宋体" w:hAnsi="宋体" w:hint="eastAsia"/>
          <w:sz w:val="28"/>
          <w:szCs w:val="28"/>
          <w:highlight w:val="yellow"/>
        </w:rPr>
        <w:t>期均</w:t>
      </w:r>
      <w:r w:rsidR="002E7FBF">
        <w:rPr>
          <w:rFonts w:ascii="宋体" w:eastAsia="宋体" w:hAnsi="宋体" w:hint="eastAsia"/>
          <w:sz w:val="28"/>
          <w:szCs w:val="28"/>
          <w:highlight w:val="yellow"/>
        </w:rPr>
        <w:t>应</w:t>
      </w:r>
      <w:r w:rsidRPr="00C619AC">
        <w:rPr>
          <w:rFonts w:ascii="宋体" w:eastAsia="宋体" w:hAnsi="宋体" w:hint="eastAsia"/>
          <w:sz w:val="28"/>
          <w:szCs w:val="28"/>
          <w:highlight w:val="yellow"/>
        </w:rPr>
        <w:t>不低于</w:t>
      </w:r>
      <w:r w:rsidRPr="00C619AC">
        <w:rPr>
          <w:rFonts w:ascii="宋体" w:eastAsia="宋体" w:hAnsi="宋体"/>
          <w:sz w:val="28"/>
          <w:szCs w:val="28"/>
          <w:highlight w:val="yellow"/>
        </w:rPr>
        <w:t xml:space="preserve"> </w:t>
      </w:r>
      <w:r w:rsidR="002E7FBF">
        <w:rPr>
          <w:rFonts w:ascii="宋体" w:eastAsia="宋体" w:hAnsi="宋体" w:hint="eastAsia"/>
          <w:sz w:val="28"/>
          <w:szCs w:val="28"/>
          <w:highlight w:val="yellow"/>
        </w:rPr>
        <w:t>1</w:t>
      </w:r>
      <w:r w:rsidRPr="00C619AC">
        <w:rPr>
          <w:rFonts w:ascii="宋体" w:eastAsia="宋体" w:hAnsi="宋体"/>
          <w:sz w:val="28"/>
          <w:szCs w:val="28"/>
          <w:highlight w:val="yellow"/>
        </w:rPr>
        <w:t xml:space="preserve"> 年</w:t>
      </w:r>
      <w:r w:rsidRPr="00C619AC">
        <w:rPr>
          <w:rFonts w:ascii="宋体" w:eastAsia="宋体" w:hAnsi="宋体"/>
          <w:sz w:val="28"/>
          <w:szCs w:val="28"/>
        </w:rPr>
        <w:t xml:space="preserve">，质保期内故障需 </w:t>
      </w:r>
      <w:r w:rsidR="006775A8">
        <w:rPr>
          <w:rFonts w:ascii="宋体" w:eastAsia="宋体" w:hAnsi="宋体" w:hint="eastAsia"/>
          <w:sz w:val="28"/>
          <w:szCs w:val="28"/>
        </w:rPr>
        <w:t>2</w:t>
      </w:r>
      <w:r w:rsidRPr="00C619AC">
        <w:rPr>
          <w:rFonts w:ascii="宋体" w:eastAsia="宋体" w:hAnsi="宋体"/>
          <w:sz w:val="28"/>
          <w:szCs w:val="28"/>
        </w:rPr>
        <w:t xml:space="preserve"> 小时</w:t>
      </w:r>
      <w:r w:rsidR="006775A8">
        <w:rPr>
          <w:rFonts w:ascii="宋体" w:eastAsia="宋体" w:hAnsi="宋体" w:hint="eastAsia"/>
          <w:sz w:val="28"/>
          <w:szCs w:val="28"/>
        </w:rPr>
        <w:t>内</w:t>
      </w:r>
      <w:r w:rsidRPr="00C619AC">
        <w:rPr>
          <w:rFonts w:ascii="宋体" w:eastAsia="宋体" w:hAnsi="宋体"/>
          <w:sz w:val="28"/>
          <w:szCs w:val="28"/>
        </w:rPr>
        <w:t>响应并免费更换。</w:t>
      </w:r>
    </w:p>
    <w:p w14:paraId="29FA38E4" w14:textId="77777777" w:rsidR="00596982" w:rsidRPr="006775A8" w:rsidRDefault="00596982" w:rsidP="00E71841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9AA5A01" w14:textId="129464FD" w:rsidR="00C619AC" w:rsidRPr="00A67D06" w:rsidRDefault="00C619AC" w:rsidP="00596982">
      <w:pPr>
        <w:spacing w:beforeLines="100" w:before="312"/>
        <w:rPr>
          <w:rFonts w:ascii="宋体" w:eastAsia="宋体" w:hAnsi="宋体" w:hint="eastAsia"/>
          <w:b/>
          <w:bCs/>
          <w:sz w:val="28"/>
          <w:szCs w:val="28"/>
        </w:rPr>
      </w:pPr>
      <w:r w:rsidRPr="00A67D06">
        <w:rPr>
          <w:rFonts w:ascii="宋体" w:eastAsia="宋体" w:hAnsi="宋体" w:hint="eastAsia"/>
          <w:b/>
          <w:bCs/>
          <w:sz w:val="28"/>
          <w:szCs w:val="28"/>
        </w:rPr>
        <w:lastRenderedPageBreak/>
        <w:t>十、付款方式</w:t>
      </w:r>
    </w:p>
    <w:p w14:paraId="018458D8" w14:textId="275D6E07" w:rsidR="0065559C" w:rsidRPr="0065559C" w:rsidRDefault="0065559C" w:rsidP="00E71841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65559C">
        <w:rPr>
          <w:rFonts w:ascii="宋体" w:eastAsia="宋体" w:hAnsi="宋体"/>
          <w:b/>
          <w:bCs/>
          <w:sz w:val="28"/>
          <w:szCs w:val="28"/>
        </w:rPr>
        <w:t>验收与支付流程</w:t>
      </w:r>
    </w:p>
    <w:p w14:paraId="5107E88C" w14:textId="77777777" w:rsidR="00370951" w:rsidRDefault="0065559C" w:rsidP="00E71841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5559C">
        <w:rPr>
          <w:rFonts w:ascii="宋体" w:eastAsia="宋体" w:hAnsi="宋体"/>
          <w:sz w:val="28"/>
          <w:szCs w:val="28"/>
        </w:rPr>
        <w:t>设备更换及系统调试完成后，乙方需提交完整的竣工验收资料（含设备合格证、施工记录、调试报告等）；甲方组织验收，验收合格后启动第三方审计，最终结算金额以审计审定价格为准。</w:t>
      </w:r>
    </w:p>
    <w:p w14:paraId="4D510274" w14:textId="33AB6329" w:rsidR="0065559C" w:rsidRPr="0065559C" w:rsidRDefault="0065559C" w:rsidP="00E71841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5559C">
        <w:rPr>
          <w:rFonts w:ascii="宋体" w:eastAsia="宋体" w:hAnsi="宋体"/>
          <w:sz w:val="28"/>
          <w:szCs w:val="28"/>
        </w:rPr>
        <w:t xml:space="preserve">乙方应在审计结果出具后 5 </w:t>
      </w:r>
      <w:proofErr w:type="gramStart"/>
      <w:r w:rsidRPr="0065559C">
        <w:rPr>
          <w:rFonts w:ascii="宋体" w:eastAsia="宋体" w:hAnsi="宋体"/>
          <w:sz w:val="28"/>
          <w:szCs w:val="28"/>
        </w:rPr>
        <w:t>个</w:t>
      </w:r>
      <w:proofErr w:type="gramEnd"/>
      <w:r w:rsidRPr="0065559C">
        <w:rPr>
          <w:rFonts w:ascii="宋体" w:eastAsia="宋体" w:hAnsi="宋体"/>
          <w:sz w:val="28"/>
          <w:szCs w:val="28"/>
        </w:rPr>
        <w:t>工作日内开具对应金额的合</w:t>
      </w:r>
      <w:proofErr w:type="gramStart"/>
      <w:r w:rsidRPr="0065559C">
        <w:rPr>
          <w:rFonts w:ascii="宋体" w:eastAsia="宋体" w:hAnsi="宋体"/>
          <w:sz w:val="28"/>
          <w:szCs w:val="28"/>
        </w:rPr>
        <w:t>规</w:t>
      </w:r>
      <w:proofErr w:type="gramEnd"/>
      <w:r w:rsidRPr="0065559C">
        <w:rPr>
          <w:rFonts w:ascii="宋体" w:eastAsia="宋体" w:hAnsi="宋体"/>
          <w:sz w:val="28"/>
          <w:szCs w:val="28"/>
        </w:rPr>
        <w:t xml:space="preserve">发票，甲方收到发票并审核无误后，于 15 </w:t>
      </w:r>
      <w:proofErr w:type="gramStart"/>
      <w:r w:rsidRPr="0065559C">
        <w:rPr>
          <w:rFonts w:ascii="宋体" w:eastAsia="宋体" w:hAnsi="宋体"/>
          <w:sz w:val="28"/>
          <w:szCs w:val="28"/>
        </w:rPr>
        <w:t>个</w:t>
      </w:r>
      <w:proofErr w:type="gramEnd"/>
      <w:r w:rsidRPr="0065559C">
        <w:rPr>
          <w:rFonts w:ascii="宋体" w:eastAsia="宋体" w:hAnsi="宋体"/>
          <w:sz w:val="28"/>
          <w:szCs w:val="28"/>
        </w:rPr>
        <w:t>工作日内完成款项支付。</w:t>
      </w:r>
    </w:p>
    <w:p w14:paraId="37D7E785" w14:textId="2FBAABCC" w:rsidR="0065559C" w:rsidRPr="0065559C" w:rsidRDefault="00370951" w:rsidP="00E71841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65559C" w:rsidRPr="0065559C">
        <w:rPr>
          <w:rFonts w:ascii="宋体" w:eastAsia="宋体" w:hAnsi="宋体"/>
          <w:b/>
          <w:bCs/>
          <w:sz w:val="28"/>
          <w:szCs w:val="28"/>
        </w:rPr>
        <w:t>审价费用承担</w:t>
      </w:r>
    </w:p>
    <w:p w14:paraId="70D9B447" w14:textId="31D4F650" w:rsidR="0065559C" w:rsidRPr="0065559C" w:rsidRDefault="00370951" w:rsidP="00263055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2" w:name="OLE_LINK4"/>
      <w:r w:rsidRPr="007E468D">
        <w:rPr>
          <w:rFonts w:ascii="宋体" w:eastAsia="宋体" w:hAnsi="宋体"/>
          <w:sz w:val="28"/>
          <w:szCs w:val="28"/>
          <w:highlight w:val="yellow"/>
        </w:rPr>
        <w:t>按照《上海市建设工程造价服务和工程招标代理服务收费标准》的规定，应由乙方承担的部分审价服务费用，由乙方直接向第三方审价机构支付</w:t>
      </w:r>
      <w:r w:rsidR="0065559C" w:rsidRPr="0065559C">
        <w:rPr>
          <w:rFonts w:ascii="宋体" w:eastAsia="宋体" w:hAnsi="宋体"/>
          <w:sz w:val="28"/>
          <w:szCs w:val="28"/>
          <w:highlight w:val="yellow"/>
        </w:rPr>
        <w:t>。</w:t>
      </w:r>
    </w:p>
    <w:bookmarkEnd w:id="2"/>
    <w:p w14:paraId="2D96EDCA" w14:textId="0C36C9F0" w:rsidR="00845883" w:rsidRPr="0065559C" w:rsidRDefault="00845883" w:rsidP="00EE38C6">
      <w:pPr>
        <w:rPr>
          <w:rFonts w:ascii="宋体" w:eastAsia="宋体" w:hAnsi="宋体" w:hint="eastAsia"/>
          <w:sz w:val="28"/>
          <w:szCs w:val="28"/>
        </w:rPr>
      </w:pPr>
    </w:p>
    <w:sectPr w:rsidR="00845883" w:rsidRPr="006555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681C" w14:textId="77777777" w:rsidR="00E73CE0" w:rsidRDefault="00E73CE0" w:rsidP="00EE38C6">
      <w:pPr>
        <w:rPr>
          <w:rFonts w:hint="eastAsia"/>
        </w:rPr>
      </w:pPr>
      <w:r>
        <w:separator/>
      </w:r>
    </w:p>
  </w:endnote>
  <w:endnote w:type="continuationSeparator" w:id="0">
    <w:p w14:paraId="0D17BEC4" w14:textId="77777777" w:rsidR="00E73CE0" w:rsidRDefault="00E73CE0" w:rsidP="00EE38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超细黑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646874"/>
      <w:docPartObj>
        <w:docPartGallery w:val="Page Numbers (Bottom of Page)"/>
        <w:docPartUnique/>
      </w:docPartObj>
    </w:sdtPr>
    <w:sdtContent>
      <w:p w14:paraId="5147427A" w14:textId="1C883E21" w:rsidR="00E71841" w:rsidRDefault="00E71841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6E7651" w14:textId="77777777" w:rsidR="00E71841" w:rsidRDefault="00E71841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F9FB" w14:textId="77777777" w:rsidR="00E73CE0" w:rsidRDefault="00E73CE0" w:rsidP="00EE38C6">
      <w:pPr>
        <w:rPr>
          <w:rFonts w:hint="eastAsia"/>
        </w:rPr>
      </w:pPr>
      <w:r>
        <w:separator/>
      </w:r>
    </w:p>
  </w:footnote>
  <w:footnote w:type="continuationSeparator" w:id="0">
    <w:p w14:paraId="69D91DCF" w14:textId="77777777" w:rsidR="00E73CE0" w:rsidRDefault="00E73CE0" w:rsidP="00EE38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C73"/>
    <w:multiLevelType w:val="hybridMultilevel"/>
    <w:tmpl w:val="B686E312"/>
    <w:lvl w:ilvl="0" w:tplc="44B8C4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730318D"/>
    <w:multiLevelType w:val="multilevel"/>
    <w:tmpl w:val="613C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7217B"/>
    <w:multiLevelType w:val="multilevel"/>
    <w:tmpl w:val="23B4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F66DA"/>
    <w:multiLevelType w:val="multilevel"/>
    <w:tmpl w:val="29BC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A5A3F"/>
    <w:multiLevelType w:val="multilevel"/>
    <w:tmpl w:val="F4FC0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00124">
    <w:abstractNumId w:val="0"/>
  </w:num>
  <w:num w:numId="2" w16cid:durableId="53163572">
    <w:abstractNumId w:val="3"/>
  </w:num>
  <w:num w:numId="3" w16cid:durableId="442581622">
    <w:abstractNumId w:val="1"/>
  </w:num>
  <w:num w:numId="4" w16cid:durableId="598149189">
    <w:abstractNumId w:val="4"/>
  </w:num>
  <w:num w:numId="5" w16cid:durableId="1017849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ADB"/>
    <w:rsid w:val="000731CF"/>
    <w:rsid w:val="0007391D"/>
    <w:rsid w:val="00096026"/>
    <w:rsid w:val="00255EE9"/>
    <w:rsid w:val="00263055"/>
    <w:rsid w:val="002E7FBF"/>
    <w:rsid w:val="00370951"/>
    <w:rsid w:val="004E1963"/>
    <w:rsid w:val="00541DCA"/>
    <w:rsid w:val="00596982"/>
    <w:rsid w:val="0065559C"/>
    <w:rsid w:val="006775A8"/>
    <w:rsid w:val="0068226C"/>
    <w:rsid w:val="006925C6"/>
    <w:rsid w:val="006B0ADB"/>
    <w:rsid w:val="007E468D"/>
    <w:rsid w:val="00826990"/>
    <w:rsid w:val="00845883"/>
    <w:rsid w:val="008B3EE0"/>
    <w:rsid w:val="008D371B"/>
    <w:rsid w:val="009A227A"/>
    <w:rsid w:val="00A66923"/>
    <w:rsid w:val="00A67D06"/>
    <w:rsid w:val="00B15A02"/>
    <w:rsid w:val="00C03627"/>
    <w:rsid w:val="00C619AC"/>
    <w:rsid w:val="00CE28F5"/>
    <w:rsid w:val="00DD2AE1"/>
    <w:rsid w:val="00DD665F"/>
    <w:rsid w:val="00E42317"/>
    <w:rsid w:val="00E71841"/>
    <w:rsid w:val="00E73CE0"/>
    <w:rsid w:val="00EE38C6"/>
    <w:rsid w:val="00F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D3995"/>
  <w15:chartTrackingRefBased/>
  <w15:docId w15:val="{EACB49C6-61AC-4619-96D1-91D84DE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9A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0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D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D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D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D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正文格式"/>
    <w:basedOn w:val="a"/>
    <w:link w:val="a4"/>
    <w:autoRedefine/>
    <w:qFormat/>
    <w:rsid w:val="00096026"/>
    <w:pPr>
      <w:spacing w:beforeLines="50" w:before="50" w:afterLines="50" w:after="50"/>
      <w:ind w:firstLineChars="200" w:firstLine="200"/>
    </w:pPr>
    <w:rPr>
      <w:rFonts w:eastAsia="宋体"/>
      <w:sz w:val="28"/>
    </w:rPr>
  </w:style>
  <w:style w:type="character" w:customStyle="1" w:styleId="a4">
    <w:name w:val="标准正文格式 字符"/>
    <w:basedOn w:val="a0"/>
    <w:link w:val="a3"/>
    <w:rsid w:val="00096026"/>
    <w:rPr>
      <w:rFonts w:eastAsia="宋体"/>
      <w:sz w:val="28"/>
    </w:rPr>
  </w:style>
  <w:style w:type="character" w:customStyle="1" w:styleId="10">
    <w:name w:val="标题 1 字符"/>
    <w:basedOn w:val="a0"/>
    <w:link w:val="1"/>
    <w:uiPriority w:val="9"/>
    <w:rsid w:val="006B0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A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0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ADB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6B0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6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6B0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6B0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B0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6B0ADB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6B0ADB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6B0ADB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6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6B0ADB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6B0ADB"/>
    <w:rPr>
      <w:b/>
      <w:bCs/>
      <w:smallCaps/>
      <w:color w:val="2F5496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EE38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E38C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E3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E38C6"/>
    <w:rPr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68226C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68226C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68226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8226C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6822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高凡</dc:creator>
  <cp:keywords/>
  <dc:description/>
  <cp:lastModifiedBy>高凡</cp:lastModifiedBy>
  <cp:revision>13</cp:revision>
  <dcterms:created xsi:type="dcterms:W3CDTF">2026-01-05T01:32:00Z</dcterms:created>
  <dcterms:modified xsi:type="dcterms:W3CDTF">2026-01-06T01:26:00Z</dcterms:modified>
</cp:coreProperties>
</file>