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上海政法学院</w:t>
      </w:r>
      <w:r>
        <w:rPr>
          <w:rFonts w:hint="eastAsia" w:asciiTheme="minorEastAsia" w:hAnsiTheme="minorEastAsia"/>
          <w:b/>
          <w:bCs/>
          <w:sz w:val="30"/>
          <w:szCs w:val="30"/>
          <w:lang w:val="en-US" w:eastAsia="zh-CN"/>
        </w:rPr>
        <w:t>28、29号楼18台热水炉及配套设备维护保养</w:t>
      </w:r>
      <w:r>
        <w:rPr>
          <w:rFonts w:hint="eastAsia"/>
          <w:b/>
          <w:sz w:val="30"/>
          <w:szCs w:val="30"/>
        </w:rPr>
        <w:t>项目</w:t>
      </w:r>
    </w:p>
    <w:p>
      <w:pPr>
        <w:jc w:val="center"/>
        <w:rPr>
          <w:b/>
          <w:sz w:val="32"/>
          <w:szCs w:val="32"/>
        </w:rPr>
      </w:pPr>
      <w:r>
        <w:rPr>
          <w:rFonts w:hint="eastAsia"/>
          <w:b/>
          <w:sz w:val="32"/>
          <w:szCs w:val="32"/>
        </w:rPr>
        <w:t>招标技术需求</w:t>
      </w:r>
    </w:p>
    <w:p>
      <w:pPr>
        <w:pStyle w:val="11"/>
        <w:numPr>
          <w:ilvl w:val="0"/>
          <w:numId w:val="1"/>
        </w:numPr>
        <w:ind w:firstLineChars="0"/>
        <w:rPr>
          <w:b w:val="0"/>
          <w:bCs w:val="0"/>
          <w:sz w:val="28"/>
          <w:szCs w:val="28"/>
        </w:rPr>
      </w:pPr>
      <w:r>
        <w:rPr>
          <w:rFonts w:hint="eastAsia"/>
          <w:b/>
          <w:sz w:val="28"/>
          <w:szCs w:val="28"/>
        </w:rPr>
        <w:t>项目</w:t>
      </w:r>
      <w:r>
        <w:rPr>
          <w:b/>
          <w:sz w:val="28"/>
          <w:szCs w:val="28"/>
        </w:rPr>
        <w:t>概况</w:t>
      </w:r>
      <w:r>
        <w:rPr>
          <w:sz w:val="28"/>
          <w:szCs w:val="28"/>
        </w:rPr>
        <w:br w:type="textWrapping"/>
      </w:r>
      <w:r>
        <w:rPr>
          <w:rFonts w:hint="eastAsia"/>
          <w:sz w:val="30"/>
          <w:szCs w:val="30"/>
        </w:rPr>
        <w:t xml:space="preserve">   </w:t>
      </w:r>
      <w:r>
        <w:rPr>
          <w:rFonts w:hint="eastAsia"/>
          <w:sz w:val="30"/>
          <w:szCs w:val="30"/>
          <w:lang w:val="en-US" w:eastAsia="zh-CN"/>
        </w:rPr>
        <w:t>18台瑞美燃气炉为</w:t>
      </w:r>
      <w:r>
        <w:rPr>
          <w:rFonts w:hint="eastAsia"/>
          <w:sz w:val="30"/>
          <w:szCs w:val="30"/>
          <w:lang w:eastAsia="zh-CN"/>
        </w:rPr>
        <w:t>学生公寓</w:t>
      </w:r>
      <w:r>
        <w:rPr>
          <w:rFonts w:hint="eastAsia" w:asciiTheme="minorEastAsia" w:hAnsiTheme="minorEastAsia"/>
          <w:b/>
          <w:bCs/>
          <w:sz w:val="30"/>
          <w:szCs w:val="30"/>
          <w:lang w:val="en-US" w:eastAsia="zh-CN"/>
        </w:rPr>
        <w:t>28、29号楼</w:t>
      </w:r>
      <w:r>
        <w:rPr>
          <w:rFonts w:hint="eastAsia"/>
          <w:sz w:val="30"/>
          <w:szCs w:val="30"/>
          <w:lang w:val="en-US" w:eastAsia="zh-CN"/>
        </w:rPr>
        <w:t>学生浴室供水洗澡，使用至今已过了免费维护保养期，</w:t>
      </w:r>
      <w:r>
        <w:rPr>
          <w:rFonts w:hint="eastAsia"/>
          <w:sz w:val="30"/>
          <w:szCs w:val="30"/>
        </w:rPr>
        <w:t>为了确保</w:t>
      </w:r>
      <w:r>
        <w:rPr>
          <w:rFonts w:hint="eastAsia" w:asciiTheme="minorEastAsia" w:hAnsiTheme="minorEastAsia"/>
          <w:b w:val="0"/>
          <w:bCs w:val="0"/>
          <w:sz w:val="30"/>
          <w:szCs w:val="30"/>
          <w:lang w:val="en-US" w:eastAsia="zh-CN"/>
        </w:rPr>
        <w:t>热水炉及配套设备的安全使用，</w:t>
      </w:r>
      <w:r>
        <w:rPr>
          <w:rFonts w:hint="eastAsia"/>
          <w:sz w:val="30"/>
          <w:szCs w:val="30"/>
          <w:lang w:eastAsia="zh-CN"/>
        </w:rPr>
        <w:t>拟对</w:t>
      </w:r>
      <w:r>
        <w:rPr>
          <w:rFonts w:hint="eastAsia" w:asciiTheme="minorEastAsia" w:hAnsiTheme="minorEastAsia"/>
          <w:b w:val="0"/>
          <w:bCs w:val="0"/>
          <w:sz w:val="30"/>
          <w:szCs w:val="30"/>
          <w:lang w:val="en-US" w:eastAsia="zh-CN"/>
        </w:rPr>
        <w:t>28、29号楼18台热水炉及配套设备请专业维修保养单位进行维护保养</w:t>
      </w:r>
      <w:r>
        <w:rPr>
          <w:rFonts w:hint="eastAsia"/>
          <w:b w:val="0"/>
          <w:bCs w:val="0"/>
          <w:sz w:val="30"/>
          <w:szCs w:val="30"/>
        </w:rPr>
        <w:t>。</w:t>
      </w:r>
      <w:bookmarkStart w:id="0" w:name="_GoBack"/>
      <w:bookmarkEnd w:id="0"/>
    </w:p>
    <w:p>
      <w:pPr>
        <w:pStyle w:val="11"/>
        <w:numPr>
          <w:ilvl w:val="0"/>
          <w:numId w:val="1"/>
        </w:numPr>
        <w:ind w:firstLineChars="0"/>
        <w:rPr>
          <w:sz w:val="28"/>
          <w:szCs w:val="28"/>
        </w:rPr>
      </w:pPr>
      <w:r>
        <w:rPr>
          <w:b/>
          <w:sz w:val="28"/>
          <w:szCs w:val="28"/>
        </w:rPr>
        <w:t>预算经费</w:t>
      </w:r>
      <w:r>
        <w:rPr>
          <w:rFonts w:hint="eastAsia"/>
          <w:b/>
          <w:sz w:val="28"/>
          <w:szCs w:val="28"/>
        </w:rPr>
        <w:t>：</w:t>
      </w:r>
      <w:r>
        <w:rPr>
          <w:rFonts w:hint="eastAsia"/>
          <w:sz w:val="28"/>
          <w:szCs w:val="28"/>
          <w:lang w:val="en-US" w:eastAsia="zh-CN"/>
        </w:rPr>
        <w:t>8</w:t>
      </w:r>
      <w:r>
        <w:rPr>
          <w:sz w:val="28"/>
          <w:szCs w:val="28"/>
        </w:rPr>
        <w:t>万</w:t>
      </w:r>
      <w:r>
        <w:rPr>
          <w:rFonts w:hint="eastAsia"/>
          <w:sz w:val="28"/>
          <w:szCs w:val="28"/>
        </w:rPr>
        <w:t>元。</w:t>
      </w:r>
    </w:p>
    <w:p>
      <w:pPr>
        <w:pStyle w:val="11"/>
        <w:numPr>
          <w:ilvl w:val="0"/>
          <w:numId w:val="1"/>
        </w:numPr>
        <w:ind w:firstLineChars="0"/>
        <w:rPr>
          <w:b/>
          <w:sz w:val="28"/>
          <w:szCs w:val="28"/>
        </w:rPr>
      </w:pPr>
      <w:r>
        <w:rPr>
          <w:rFonts w:hint="eastAsia"/>
          <w:sz w:val="28"/>
          <w:szCs w:val="28"/>
          <w:lang w:eastAsia="zh-CN"/>
        </w:rPr>
        <w:t>时间：</w:t>
      </w:r>
      <w:r>
        <w:rPr>
          <w:rFonts w:hint="eastAsia"/>
          <w:sz w:val="28"/>
          <w:szCs w:val="28"/>
          <w:lang w:val="en-US" w:eastAsia="zh-CN"/>
        </w:rPr>
        <w:t>2022年3月8日---2023年3月7日</w:t>
      </w:r>
    </w:p>
    <w:p>
      <w:pPr>
        <w:pStyle w:val="11"/>
        <w:numPr>
          <w:ilvl w:val="0"/>
          <w:numId w:val="1"/>
        </w:numPr>
        <w:ind w:firstLineChars="0"/>
        <w:rPr>
          <w:b/>
          <w:sz w:val="28"/>
          <w:szCs w:val="28"/>
        </w:rPr>
      </w:pPr>
      <w:r>
        <w:rPr>
          <w:b/>
          <w:sz w:val="28"/>
          <w:szCs w:val="28"/>
        </w:rPr>
        <w:t>范围</w:t>
      </w:r>
      <w:r>
        <w:rPr>
          <w:rFonts w:hint="eastAsia"/>
          <w:b/>
          <w:sz w:val="28"/>
          <w:szCs w:val="28"/>
        </w:rPr>
        <w:t>：</w:t>
      </w:r>
      <w:r>
        <w:rPr>
          <w:rFonts w:hint="eastAsia"/>
          <w:sz w:val="30"/>
          <w:szCs w:val="30"/>
        </w:rPr>
        <w:t>学校</w:t>
      </w:r>
      <w:r>
        <w:rPr>
          <w:rFonts w:hint="eastAsia" w:asciiTheme="minorEastAsia" w:hAnsiTheme="minorEastAsia"/>
          <w:b/>
          <w:bCs/>
          <w:sz w:val="30"/>
          <w:szCs w:val="30"/>
          <w:lang w:val="en-US" w:eastAsia="zh-CN"/>
        </w:rPr>
        <w:t>28、29号楼</w:t>
      </w:r>
    </w:p>
    <w:p>
      <w:pPr>
        <w:pStyle w:val="11"/>
        <w:numPr>
          <w:ilvl w:val="0"/>
          <w:numId w:val="0"/>
        </w:numPr>
        <w:ind w:leftChars="0"/>
        <w:rPr>
          <w:rFonts w:hint="eastAsia"/>
        </w:rPr>
      </w:pPr>
      <w:r>
        <w:rPr>
          <w:rFonts w:hint="eastAsia"/>
          <w:b/>
          <w:sz w:val="28"/>
          <w:szCs w:val="28"/>
          <w:lang w:eastAsia="zh-CN"/>
        </w:rPr>
        <w:t>五、</w:t>
      </w:r>
      <w:r>
        <w:rPr>
          <w:b/>
          <w:sz w:val="28"/>
          <w:szCs w:val="28"/>
        </w:rPr>
        <w:t>投标单位资质要求</w:t>
      </w:r>
      <w:r>
        <w:rPr>
          <w:rFonts w:hint="eastAsia"/>
          <w:b/>
          <w:sz w:val="28"/>
          <w:szCs w:val="28"/>
        </w:rPr>
        <w:t>：</w:t>
      </w:r>
    </w:p>
    <w:p>
      <w:pPr>
        <w:pStyle w:val="11"/>
        <w:ind w:left="600" w:firstLine="0" w:firstLineChars="0"/>
      </w:pPr>
    </w:p>
    <w:p>
      <w:pPr>
        <w:pStyle w:val="11"/>
        <w:numPr>
          <w:ilvl w:val="0"/>
          <w:numId w:val="2"/>
        </w:numPr>
        <w:ind w:firstLineChars="0"/>
        <w:rPr>
          <w:rFonts w:hint="eastAsia"/>
          <w:sz w:val="28"/>
          <w:szCs w:val="28"/>
        </w:rPr>
      </w:pPr>
      <w:r>
        <w:rPr>
          <w:rFonts w:hint="eastAsia"/>
          <w:sz w:val="28"/>
          <w:szCs w:val="28"/>
        </w:rPr>
        <w:t>参加投标的单位为具有</w:t>
      </w:r>
      <w:r>
        <w:rPr>
          <w:rFonts w:hint="eastAsia"/>
          <w:sz w:val="28"/>
          <w:szCs w:val="28"/>
          <w:lang w:eastAsia="zh-CN"/>
        </w:rPr>
        <w:t>建筑工程机电安装资质</w:t>
      </w:r>
      <w:r>
        <w:rPr>
          <w:rFonts w:hint="eastAsia"/>
          <w:sz w:val="28"/>
          <w:szCs w:val="28"/>
        </w:rPr>
        <w:t>的单位。</w:t>
      </w:r>
    </w:p>
    <w:p>
      <w:pPr>
        <w:pStyle w:val="11"/>
        <w:numPr>
          <w:ilvl w:val="0"/>
          <w:numId w:val="2"/>
        </w:numPr>
        <w:ind w:firstLineChars="0"/>
        <w:rPr>
          <w:sz w:val="28"/>
          <w:szCs w:val="28"/>
        </w:rPr>
      </w:pPr>
      <w:r>
        <w:rPr>
          <w:rFonts w:hint="eastAsia" w:asciiTheme="majorEastAsia" w:hAnsiTheme="majorEastAsia" w:eastAsiaTheme="majorEastAsia"/>
          <w:sz w:val="28"/>
          <w:szCs w:val="28"/>
        </w:rPr>
        <w:t>提供企业法人代表资格证书和企业法人代码证书及税务登记证书复印件。</w:t>
      </w:r>
    </w:p>
    <w:p>
      <w:pPr>
        <w:pStyle w:val="11"/>
        <w:numPr>
          <w:ilvl w:val="0"/>
          <w:numId w:val="2"/>
        </w:numPr>
        <w:ind w:firstLineChars="0"/>
        <w:rPr>
          <w:sz w:val="28"/>
          <w:szCs w:val="28"/>
        </w:rPr>
      </w:pPr>
      <w:r>
        <w:rPr>
          <w:rFonts w:hint="eastAsia"/>
          <w:sz w:val="28"/>
          <w:szCs w:val="28"/>
        </w:rPr>
        <w:t>投标人没有处于被责令停业，投标资格被取消，财产被接管、冻结，破产状态。</w:t>
      </w:r>
    </w:p>
    <w:p>
      <w:pPr>
        <w:pStyle w:val="11"/>
        <w:numPr>
          <w:ilvl w:val="0"/>
          <w:numId w:val="2"/>
        </w:numPr>
        <w:spacing w:line="500" w:lineRule="exact"/>
        <w:ind w:firstLineChars="0"/>
        <w:jc w:val="left"/>
        <w:rPr>
          <w:b/>
          <w:sz w:val="28"/>
          <w:szCs w:val="28"/>
        </w:rPr>
      </w:pPr>
      <w:r>
        <w:rPr>
          <w:rFonts w:hint="eastAsia" w:ascii="宋体" w:hAnsi="宋体" w:cs="宋体"/>
          <w:bCs/>
          <w:sz w:val="28"/>
          <w:szCs w:val="28"/>
        </w:rPr>
        <w:t>投标单位必须到建设单位进行现场勘查。</w:t>
      </w:r>
    </w:p>
    <w:p>
      <w:pPr>
        <w:numPr>
          <w:ilvl w:val="0"/>
          <w:numId w:val="3"/>
        </w:numPr>
        <w:rPr>
          <w:rFonts w:hint="eastAsia"/>
          <w:b/>
          <w:sz w:val="28"/>
          <w:szCs w:val="28"/>
        </w:rPr>
      </w:pPr>
      <w:r>
        <w:rPr>
          <w:b/>
          <w:sz w:val="28"/>
          <w:szCs w:val="28"/>
        </w:rPr>
        <w:t>工程量清单</w:t>
      </w:r>
      <w:r>
        <w:rPr>
          <w:rFonts w:hint="eastAsia"/>
          <w:b/>
          <w:sz w:val="28"/>
          <w:szCs w:val="28"/>
        </w:rPr>
        <w:t>：</w:t>
      </w:r>
    </w:p>
    <w:tbl>
      <w:tblPr>
        <w:tblStyle w:val="8"/>
        <w:tblW w:w="0" w:type="auto"/>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1530"/>
        <w:gridCol w:w="1620"/>
        <w:gridCol w:w="1080"/>
        <w:gridCol w:w="1980"/>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82" w:type="dxa"/>
            <w:tcBorders>
              <w:top w:val="single" w:color="auto" w:sz="4" w:space="0"/>
            </w:tcBorders>
            <w:noWrap w:val="0"/>
            <w:tcMar>
              <w:top w:w="15" w:type="dxa"/>
              <w:left w:w="15" w:type="dxa"/>
              <w:bottom w:w="0" w:type="dxa"/>
              <w:right w:w="15" w:type="dxa"/>
            </w:tcMar>
            <w:vAlign w:val="bottom"/>
          </w:tcPr>
          <w:p>
            <w:pPr>
              <w:jc w:val="center"/>
              <w:rPr>
                <w:rFonts w:ascii="仿宋_GB2312" w:eastAsia="仿宋_GB2312"/>
                <w:sz w:val="24"/>
                <w:szCs w:val="21"/>
              </w:rPr>
            </w:pPr>
            <w:r>
              <w:rPr>
                <w:rFonts w:hint="eastAsia" w:ascii="仿宋_GB2312" w:eastAsia="仿宋_GB2312"/>
                <w:sz w:val="24"/>
                <w:szCs w:val="21"/>
              </w:rPr>
              <w:t>序号</w:t>
            </w:r>
          </w:p>
        </w:tc>
        <w:tc>
          <w:tcPr>
            <w:tcW w:w="1530" w:type="dxa"/>
            <w:tcBorders>
              <w:top w:val="single" w:color="auto" w:sz="4" w:space="0"/>
            </w:tcBorders>
            <w:noWrap w:val="0"/>
            <w:tcMar>
              <w:top w:w="15" w:type="dxa"/>
              <w:left w:w="15" w:type="dxa"/>
              <w:bottom w:w="0" w:type="dxa"/>
              <w:right w:w="15" w:type="dxa"/>
            </w:tcMar>
            <w:vAlign w:val="bottom"/>
          </w:tcPr>
          <w:p>
            <w:pPr>
              <w:jc w:val="center"/>
              <w:rPr>
                <w:rFonts w:ascii="仿宋_GB2312" w:eastAsia="仿宋_GB2312"/>
                <w:sz w:val="24"/>
                <w:szCs w:val="21"/>
              </w:rPr>
            </w:pPr>
            <w:r>
              <w:rPr>
                <w:rFonts w:hint="eastAsia" w:ascii="仿宋_GB2312" w:eastAsia="仿宋_GB2312"/>
                <w:sz w:val="24"/>
                <w:szCs w:val="21"/>
              </w:rPr>
              <w:t>设备名称</w:t>
            </w:r>
          </w:p>
        </w:tc>
        <w:tc>
          <w:tcPr>
            <w:tcW w:w="1620" w:type="dxa"/>
            <w:tcBorders>
              <w:top w:val="single" w:color="auto" w:sz="4" w:space="0"/>
            </w:tcBorders>
            <w:noWrap w:val="0"/>
            <w:tcMar>
              <w:top w:w="15" w:type="dxa"/>
              <w:left w:w="15" w:type="dxa"/>
              <w:bottom w:w="0" w:type="dxa"/>
              <w:right w:w="15" w:type="dxa"/>
            </w:tcMar>
            <w:vAlign w:val="bottom"/>
          </w:tcPr>
          <w:p>
            <w:pPr>
              <w:jc w:val="center"/>
              <w:rPr>
                <w:rFonts w:ascii="仿宋_GB2312" w:eastAsia="仿宋_GB2312"/>
                <w:sz w:val="24"/>
                <w:szCs w:val="21"/>
              </w:rPr>
            </w:pPr>
            <w:r>
              <w:rPr>
                <w:rFonts w:hint="eastAsia" w:ascii="仿宋_GB2312" w:eastAsia="仿宋_GB2312"/>
                <w:sz w:val="24"/>
                <w:szCs w:val="21"/>
              </w:rPr>
              <w:t>型号</w:t>
            </w:r>
          </w:p>
        </w:tc>
        <w:tc>
          <w:tcPr>
            <w:tcW w:w="1080" w:type="dxa"/>
            <w:tcBorders>
              <w:top w:val="single" w:color="auto" w:sz="4" w:space="0"/>
            </w:tcBorders>
            <w:noWrap w:val="0"/>
            <w:vAlign w:val="bottom"/>
          </w:tcPr>
          <w:p>
            <w:pPr>
              <w:jc w:val="center"/>
              <w:rPr>
                <w:rFonts w:ascii="仿宋_GB2312" w:eastAsia="仿宋_GB2312"/>
                <w:sz w:val="24"/>
                <w:szCs w:val="21"/>
              </w:rPr>
            </w:pPr>
            <w:r>
              <w:rPr>
                <w:rFonts w:hint="eastAsia" w:ascii="仿宋_GB2312" w:eastAsia="仿宋_GB2312"/>
                <w:sz w:val="24"/>
                <w:szCs w:val="21"/>
              </w:rPr>
              <w:t>单价</w:t>
            </w:r>
          </w:p>
        </w:tc>
        <w:tc>
          <w:tcPr>
            <w:tcW w:w="1980" w:type="dxa"/>
            <w:tcBorders>
              <w:top w:val="single" w:color="auto" w:sz="4" w:space="0"/>
            </w:tcBorders>
            <w:noWrap w:val="0"/>
            <w:vAlign w:val="bottom"/>
          </w:tcPr>
          <w:p>
            <w:pPr>
              <w:jc w:val="center"/>
              <w:rPr>
                <w:rFonts w:ascii="仿宋_GB2312" w:eastAsia="仿宋_GB2312"/>
                <w:sz w:val="24"/>
                <w:szCs w:val="21"/>
              </w:rPr>
            </w:pPr>
            <w:r>
              <w:rPr>
                <w:rFonts w:hint="eastAsia" w:ascii="仿宋_GB2312" w:eastAsia="仿宋_GB2312"/>
                <w:sz w:val="24"/>
                <w:szCs w:val="21"/>
              </w:rPr>
              <w:t>数量（台）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82" w:type="dxa"/>
            <w:noWrap w:val="0"/>
            <w:tcMar>
              <w:top w:w="15" w:type="dxa"/>
              <w:left w:w="15" w:type="dxa"/>
              <w:bottom w:w="0" w:type="dxa"/>
              <w:right w:w="15" w:type="dxa"/>
            </w:tcMar>
            <w:vAlign w:val="bottom"/>
          </w:tcPr>
          <w:p>
            <w:pPr>
              <w:jc w:val="center"/>
              <w:rPr>
                <w:rFonts w:ascii="仿宋_GB2312" w:eastAsia="仿宋_GB2312"/>
                <w:sz w:val="24"/>
                <w:szCs w:val="21"/>
              </w:rPr>
            </w:pPr>
            <w:r>
              <w:rPr>
                <w:rFonts w:ascii="仿宋_GB2312" w:eastAsia="仿宋_GB2312"/>
                <w:sz w:val="24"/>
                <w:szCs w:val="21"/>
              </w:rPr>
              <w:t>1</w:t>
            </w:r>
          </w:p>
        </w:tc>
        <w:tc>
          <w:tcPr>
            <w:tcW w:w="1530" w:type="dxa"/>
            <w:noWrap w:val="0"/>
            <w:tcMar>
              <w:top w:w="15" w:type="dxa"/>
              <w:left w:w="15" w:type="dxa"/>
              <w:bottom w:w="0" w:type="dxa"/>
              <w:right w:w="15" w:type="dxa"/>
            </w:tcMar>
            <w:vAlign w:val="bottom"/>
          </w:tcPr>
          <w:p>
            <w:pPr>
              <w:jc w:val="center"/>
              <w:rPr>
                <w:rFonts w:ascii="仿宋_GB2312" w:eastAsia="仿宋_GB2312"/>
                <w:sz w:val="24"/>
                <w:szCs w:val="21"/>
              </w:rPr>
            </w:pPr>
            <w:r>
              <w:rPr>
                <w:rFonts w:hint="eastAsia" w:ascii="仿宋_GB2312" w:eastAsia="仿宋_GB2312"/>
                <w:sz w:val="24"/>
              </w:rPr>
              <w:t>瑞美燃气炉</w:t>
            </w:r>
          </w:p>
        </w:tc>
        <w:tc>
          <w:tcPr>
            <w:tcW w:w="1620" w:type="dxa"/>
            <w:noWrap w:val="0"/>
            <w:tcMar>
              <w:top w:w="15" w:type="dxa"/>
              <w:left w:w="15" w:type="dxa"/>
              <w:bottom w:w="0" w:type="dxa"/>
              <w:right w:w="15" w:type="dxa"/>
            </w:tcMar>
            <w:vAlign w:val="bottom"/>
          </w:tcPr>
          <w:p>
            <w:pPr>
              <w:jc w:val="center"/>
              <w:rPr>
                <w:rFonts w:ascii="仿宋_GB2312" w:eastAsia="仿宋_GB2312"/>
                <w:sz w:val="24"/>
                <w:szCs w:val="21"/>
              </w:rPr>
            </w:pPr>
            <w:r>
              <w:rPr>
                <w:rFonts w:hint="eastAsia" w:ascii="仿宋_GB2312" w:eastAsia="仿宋_GB2312"/>
                <w:sz w:val="24"/>
                <w:szCs w:val="21"/>
              </w:rPr>
              <w:t>G100-376</w:t>
            </w:r>
          </w:p>
        </w:tc>
        <w:tc>
          <w:tcPr>
            <w:tcW w:w="1080" w:type="dxa"/>
            <w:noWrap w:val="0"/>
            <w:vAlign w:val="bottom"/>
          </w:tcPr>
          <w:p>
            <w:pPr>
              <w:jc w:val="center"/>
              <w:rPr>
                <w:rFonts w:ascii="仿宋_GB2312" w:eastAsia="仿宋_GB2312"/>
                <w:sz w:val="24"/>
                <w:szCs w:val="21"/>
              </w:rPr>
            </w:pPr>
            <w:r>
              <w:rPr>
                <w:rFonts w:hint="eastAsia" w:ascii="仿宋_GB2312" w:eastAsia="仿宋_GB2312"/>
                <w:sz w:val="24"/>
                <w:szCs w:val="21"/>
              </w:rPr>
              <w:t>3000</w:t>
            </w:r>
          </w:p>
        </w:tc>
        <w:tc>
          <w:tcPr>
            <w:tcW w:w="1980" w:type="dxa"/>
            <w:noWrap w:val="0"/>
            <w:vAlign w:val="bottom"/>
          </w:tcPr>
          <w:p>
            <w:pPr>
              <w:jc w:val="center"/>
              <w:rPr>
                <w:rFonts w:ascii="仿宋_GB2312" w:eastAsia="仿宋_GB2312"/>
                <w:sz w:val="24"/>
                <w:szCs w:val="21"/>
              </w:rPr>
            </w:pPr>
            <w:r>
              <w:rPr>
                <w:rFonts w:hint="eastAsia" w:ascii="仿宋_GB2312" w:eastAsia="仿宋_GB2312"/>
                <w:sz w:val="24"/>
                <w:szCs w:val="21"/>
              </w:rPr>
              <w:t>18</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82" w:type="dxa"/>
            <w:noWrap w:val="0"/>
            <w:tcMar>
              <w:top w:w="15" w:type="dxa"/>
              <w:left w:w="15" w:type="dxa"/>
              <w:bottom w:w="0" w:type="dxa"/>
              <w:right w:w="15" w:type="dxa"/>
            </w:tcMar>
            <w:vAlign w:val="bottom"/>
          </w:tcPr>
          <w:p>
            <w:pPr>
              <w:jc w:val="center"/>
              <w:rPr>
                <w:rFonts w:ascii="仿宋_GB2312" w:eastAsia="仿宋_GB2312"/>
                <w:sz w:val="24"/>
                <w:szCs w:val="21"/>
              </w:rPr>
            </w:pPr>
            <w:r>
              <w:rPr>
                <w:rFonts w:hint="eastAsia" w:ascii="仿宋_GB2312" w:eastAsia="仿宋_GB2312"/>
                <w:sz w:val="24"/>
                <w:szCs w:val="21"/>
              </w:rPr>
              <w:t>2</w:t>
            </w:r>
          </w:p>
        </w:tc>
        <w:tc>
          <w:tcPr>
            <w:tcW w:w="1530" w:type="dxa"/>
            <w:noWrap w:val="0"/>
            <w:tcMar>
              <w:top w:w="15" w:type="dxa"/>
              <w:left w:w="15" w:type="dxa"/>
              <w:bottom w:w="0" w:type="dxa"/>
              <w:right w:w="15" w:type="dxa"/>
            </w:tcMar>
            <w:vAlign w:val="bottom"/>
          </w:tcPr>
          <w:p>
            <w:pPr>
              <w:jc w:val="center"/>
              <w:rPr>
                <w:rFonts w:ascii="仿宋_GB2312" w:eastAsia="仿宋_GB2312"/>
                <w:sz w:val="24"/>
              </w:rPr>
            </w:pPr>
            <w:r>
              <w:rPr>
                <w:rFonts w:hint="eastAsia" w:ascii="仿宋_GB2312" w:eastAsia="仿宋_GB2312"/>
                <w:sz w:val="24"/>
              </w:rPr>
              <w:t>循环泵</w:t>
            </w:r>
          </w:p>
        </w:tc>
        <w:tc>
          <w:tcPr>
            <w:tcW w:w="1620" w:type="dxa"/>
            <w:noWrap w:val="0"/>
            <w:tcMar>
              <w:top w:w="15" w:type="dxa"/>
              <w:left w:w="15" w:type="dxa"/>
              <w:bottom w:w="0" w:type="dxa"/>
              <w:right w:w="15" w:type="dxa"/>
            </w:tcMar>
            <w:vAlign w:val="bottom"/>
          </w:tcPr>
          <w:p>
            <w:pPr>
              <w:jc w:val="center"/>
              <w:rPr>
                <w:rFonts w:ascii="仿宋_GB2312" w:eastAsia="仿宋_GB2312"/>
                <w:sz w:val="24"/>
                <w:szCs w:val="21"/>
              </w:rPr>
            </w:pPr>
          </w:p>
        </w:tc>
        <w:tc>
          <w:tcPr>
            <w:tcW w:w="1080" w:type="dxa"/>
            <w:noWrap w:val="0"/>
            <w:vAlign w:val="bottom"/>
          </w:tcPr>
          <w:p>
            <w:pPr>
              <w:jc w:val="center"/>
              <w:rPr>
                <w:rFonts w:ascii="仿宋_GB2312" w:eastAsia="仿宋_GB2312"/>
                <w:sz w:val="24"/>
                <w:szCs w:val="21"/>
              </w:rPr>
            </w:pPr>
            <w:r>
              <w:rPr>
                <w:rFonts w:hint="eastAsia" w:ascii="仿宋_GB2312" w:eastAsia="仿宋_GB2312"/>
                <w:sz w:val="24"/>
                <w:szCs w:val="21"/>
              </w:rPr>
              <w:t>1000</w:t>
            </w:r>
          </w:p>
        </w:tc>
        <w:tc>
          <w:tcPr>
            <w:tcW w:w="1980" w:type="dxa"/>
            <w:noWrap w:val="0"/>
            <w:vAlign w:val="bottom"/>
          </w:tcPr>
          <w:p>
            <w:pPr>
              <w:jc w:val="center"/>
              <w:rPr>
                <w:rFonts w:ascii="仿宋_GB2312" w:eastAsia="仿宋_GB2312"/>
                <w:sz w:val="24"/>
                <w:szCs w:val="21"/>
              </w:rPr>
            </w:pPr>
            <w:r>
              <w:rPr>
                <w:rFonts w:hint="eastAsia" w:ascii="仿宋_GB2312" w:eastAsia="仿宋_GB2312"/>
                <w:sz w:val="24"/>
                <w:szCs w:val="21"/>
              </w:rPr>
              <w:t>4</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82" w:type="dxa"/>
            <w:noWrap w:val="0"/>
            <w:tcMar>
              <w:top w:w="15" w:type="dxa"/>
              <w:left w:w="15" w:type="dxa"/>
              <w:bottom w:w="0" w:type="dxa"/>
              <w:right w:w="15" w:type="dxa"/>
            </w:tcMar>
            <w:vAlign w:val="bottom"/>
          </w:tcPr>
          <w:p>
            <w:pPr>
              <w:jc w:val="center"/>
              <w:rPr>
                <w:rFonts w:ascii="仿宋_GB2312" w:eastAsia="仿宋_GB2312"/>
                <w:sz w:val="24"/>
                <w:szCs w:val="21"/>
              </w:rPr>
            </w:pPr>
            <w:r>
              <w:rPr>
                <w:rFonts w:hint="eastAsia" w:ascii="仿宋_GB2312" w:eastAsia="仿宋_GB2312"/>
                <w:sz w:val="24"/>
                <w:szCs w:val="21"/>
              </w:rPr>
              <w:t>3</w:t>
            </w:r>
          </w:p>
        </w:tc>
        <w:tc>
          <w:tcPr>
            <w:tcW w:w="1530" w:type="dxa"/>
            <w:noWrap w:val="0"/>
            <w:tcMar>
              <w:top w:w="15" w:type="dxa"/>
              <w:left w:w="15" w:type="dxa"/>
              <w:bottom w:w="0" w:type="dxa"/>
              <w:right w:w="15" w:type="dxa"/>
            </w:tcMar>
            <w:vAlign w:val="bottom"/>
          </w:tcPr>
          <w:p>
            <w:pPr>
              <w:jc w:val="center"/>
              <w:rPr>
                <w:rFonts w:ascii="仿宋_GB2312" w:eastAsia="仿宋_GB2312"/>
                <w:sz w:val="24"/>
                <w:szCs w:val="21"/>
              </w:rPr>
            </w:pPr>
            <w:r>
              <w:rPr>
                <w:rFonts w:hint="eastAsia" w:ascii="仿宋_GB2312" w:eastAsia="仿宋_GB2312"/>
                <w:sz w:val="24"/>
                <w:szCs w:val="21"/>
              </w:rPr>
              <w:t>控制中心</w:t>
            </w:r>
          </w:p>
        </w:tc>
        <w:tc>
          <w:tcPr>
            <w:tcW w:w="1620" w:type="dxa"/>
            <w:noWrap w:val="0"/>
            <w:tcMar>
              <w:top w:w="15" w:type="dxa"/>
              <w:left w:w="15" w:type="dxa"/>
              <w:bottom w:w="0" w:type="dxa"/>
              <w:right w:w="15" w:type="dxa"/>
            </w:tcMar>
            <w:vAlign w:val="bottom"/>
          </w:tcPr>
          <w:p>
            <w:pPr>
              <w:jc w:val="center"/>
              <w:rPr>
                <w:rFonts w:ascii="仿宋_GB2312" w:eastAsia="仿宋_GB2312"/>
                <w:sz w:val="24"/>
                <w:szCs w:val="21"/>
              </w:rPr>
            </w:pPr>
          </w:p>
        </w:tc>
        <w:tc>
          <w:tcPr>
            <w:tcW w:w="1080" w:type="dxa"/>
            <w:noWrap w:val="0"/>
            <w:vAlign w:val="bottom"/>
          </w:tcPr>
          <w:p>
            <w:pPr>
              <w:jc w:val="center"/>
              <w:rPr>
                <w:rFonts w:ascii="仿宋_GB2312" w:eastAsia="仿宋_GB2312"/>
                <w:sz w:val="24"/>
                <w:szCs w:val="21"/>
              </w:rPr>
            </w:pPr>
            <w:r>
              <w:rPr>
                <w:rFonts w:hint="eastAsia" w:ascii="仿宋_GB2312" w:eastAsia="仿宋_GB2312"/>
                <w:sz w:val="24"/>
                <w:szCs w:val="21"/>
              </w:rPr>
              <w:t>3500</w:t>
            </w:r>
          </w:p>
        </w:tc>
        <w:tc>
          <w:tcPr>
            <w:tcW w:w="1980" w:type="dxa"/>
            <w:noWrap w:val="0"/>
            <w:vAlign w:val="bottom"/>
          </w:tcPr>
          <w:p>
            <w:pPr>
              <w:jc w:val="center"/>
              <w:rPr>
                <w:rFonts w:ascii="仿宋_GB2312" w:eastAsia="仿宋_GB2312"/>
                <w:sz w:val="24"/>
                <w:szCs w:val="21"/>
              </w:rPr>
            </w:pPr>
            <w:r>
              <w:rPr>
                <w:rFonts w:hint="eastAsia" w:ascii="仿宋_GB2312" w:eastAsia="仿宋_GB2312"/>
                <w:sz w:val="24"/>
                <w:szCs w:val="21"/>
              </w:rPr>
              <w:t>2</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82" w:type="dxa"/>
            <w:noWrap w:val="0"/>
            <w:tcMar>
              <w:top w:w="15" w:type="dxa"/>
              <w:left w:w="15" w:type="dxa"/>
              <w:bottom w:w="0" w:type="dxa"/>
              <w:right w:w="15" w:type="dxa"/>
            </w:tcMar>
            <w:vAlign w:val="bottom"/>
          </w:tcPr>
          <w:p>
            <w:pPr>
              <w:jc w:val="center"/>
              <w:rPr>
                <w:rFonts w:ascii="仿宋_GB2312" w:eastAsia="仿宋_GB2312"/>
                <w:sz w:val="24"/>
                <w:szCs w:val="21"/>
              </w:rPr>
            </w:pPr>
            <w:r>
              <w:rPr>
                <w:rFonts w:hint="eastAsia" w:ascii="仿宋_GB2312" w:eastAsia="仿宋_GB2312"/>
                <w:sz w:val="24"/>
                <w:szCs w:val="21"/>
              </w:rPr>
              <w:t>4</w:t>
            </w:r>
          </w:p>
        </w:tc>
        <w:tc>
          <w:tcPr>
            <w:tcW w:w="1530" w:type="dxa"/>
            <w:noWrap w:val="0"/>
            <w:tcMar>
              <w:top w:w="15" w:type="dxa"/>
              <w:left w:w="15" w:type="dxa"/>
              <w:bottom w:w="0" w:type="dxa"/>
              <w:right w:w="15" w:type="dxa"/>
            </w:tcMar>
            <w:vAlign w:val="bottom"/>
          </w:tcPr>
          <w:p>
            <w:pPr>
              <w:jc w:val="center"/>
              <w:rPr>
                <w:rFonts w:ascii="仿宋_GB2312" w:eastAsia="仿宋_GB2312"/>
                <w:sz w:val="24"/>
                <w:szCs w:val="21"/>
              </w:rPr>
            </w:pPr>
            <w:r>
              <w:rPr>
                <w:rFonts w:hint="eastAsia" w:ascii="仿宋_GB2312" w:eastAsia="仿宋_GB2312"/>
                <w:sz w:val="24"/>
                <w:szCs w:val="21"/>
              </w:rPr>
              <w:t>管路</w:t>
            </w:r>
          </w:p>
        </w:tc>
        <w:tc>
          <w:tcPr>
            <w:tcW w:w="1620" w:type="dxa"/>
            <w:noWrap w:val="0"/>
            <w:tcMar>
              <w:top w:w="15" w:type="dxa"/>
              <w:left w:w="15" w:type="dxa"/>
              <w:bottom w:w="0" w:type="dxa"/>
              <w:right w:w="15" w:type="dxa"/>
            </w:tcMar>
            <w:vAlign w:val="bottom"/>
          </w:tcPr>
          <w:p>
            <w:pPr>
              <w:jc w:val="center"/>
              <w:rPr>
                <w:rFonts w:ascii="仿宋_GB2312" w:eastAsia="仿宋_GB2312"/>
                <w:sz w:val="24"/>
                <w:szCs w:val="21"/>
              </w:rPr>
            </w:pPr>
          </w:p>
        </w:tc>
        <w:tc>
          <w:tcPr>
            <w:tcW w:w="1080" w:type="dxa"/>
            <w:noWrap w:val="0"/>
            <w:vAlign w:val="bottom"/>
          </w:tcPr>
          <w:p>
            <w:pPr>
              <w:jc w:val="center"/>
              <w:rPr>
                <w:rFonts w:ascii="仿宋_GB2312" w:eastAsia="仿宋_GB2312"/>
                <w:sz w:val="24"/>
                <w:szCs w:val="21"/>
              </w:rPr>
            </w:pPr>
            <w:r>
              <w:rPr>
                <w:rFonts w:hint="eastAsia" w:ascii="仿宋_GB2312" w:eastAsia="仿宋_GB2312"/>
                <w:sz w:val="24"/>
                <w:szCs w:val="21"/>
              </w:rPr>
              <w:t>4000</w:t>
            </w:r>
          </w:p>
        </w:tc>
        <w:tc>
          <w:tcPr>
            <w:tcW w:w="1980" w:type="dxa"/>
            <w:noWrap w:val="0"/>
            <w:vAlign w:val="bottom"/>
          </w:tcPr>
          <w:p>
            <w:pPr>
              <w:jc w:val="center"/>
              <w:rPr>
                <w:rFonts w:ascii="仿宋_GB2312" w:eastAsia="仿宋_GB2312"/>
                <w:sz w:val="24"/>
                <w:szCs w:val="21"/>
              </w:rPr>
            </w:pPr>
            <w:r>
              <w:rPr>
                <w:rFonts w:hint="eastAsia" w:ascii="仿宋_GB2312" w:eastAsia="仿宋_GB2312"/>
                <w:sz w:val="24"/>
                <w:szCs w:val="21"/>
              </w:rPr>
              <w:t>2</w:t>
            </w:r>
          </w:p>
        </w:tc>
      </w:tr>
    </w:tbl>
    <w:p>
      <w:pPr>
        <w:spacing w:line="400" w:lineRule="exact"/>
        <w:ind w:firstLine="141" w:firstLineChars="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七</w:t>
      </w:r>
      <w:r>
        <w:rPr>
          <w:rFonts w:hint="eastAsia" w:asciiTheme="minorEastAsia" w:hAnsiTheme="minorEastAsia" w:eastAsiaTheme="minorEastAsia" w:cstheme="minorEastAsia"/>
          <w:b/>
          <w:bCs/>
          <w:sz w:val="28"/>
          <w:szCs w:val="28"/>
        </w:rPr>
        <w:t>、维护保养</w:t>
      </w:r>
      <w:r>
        <w:rPr>
          <w:rFonts w:hint="eastAsia" w:asciiTheme="minorEastAsia" w:hAnsiTheme="minorEastAsia" w:eastAsiaTheme="minorEastAsia" w:cstheme="minorEastAsia"/>
          <w:b/>
          <w:bCs/>
          <w:sz w:val="28"/>
          <w:szCs w:val="28"/>
          <w:lang w:eastAsia="zh-CN"/>
        </w:rPr>
        <w:t>响应</w:t>
      </w:r>
      <w:r>
        <w:rPr>
          <w:rFonts w:hint="eastAsia" w:asciiTheme="minorEastAsia" w:hAnsiTheme="minorEastAsia" w:eastAsiaTheme="minorEastAsia" w:cstheme="minorEastAsia"/>
          <w:b/>
          <w:bCs/>
          <w:sz w:val="28"/>
          <w:szCs w:val="28"/>
        </w:rPr>
        <w:t>承诺:</w:t>
      </w:r>
    </w:p>
    <w:p>
      <w:pPr>
        <w:numPr>
          <w:ilvl w:val="0"/>
          <w:numId w:val="4"/>
        </w:numPr>
        <w:snapToGrid w:val="0"/>
        <w:spacing w:line="264"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乙方人员在保养维护施工中，与甲方友好配合并严格遵守甲方相关的管理规章制度，尽可能降低对甲方正常营运的影响。如有争议，应通知双方相关人员协商解决。</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、应急维修</w:t>
      </w:r>
    </w:p>
    <w:p>
      <w:pPr>
        <w:spacing w:line="400" w:lineRule="exact"/>
        <w:ind w:left="838" w:leftChars="39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在维保合同期间，属维保合同范围内的商用热水系统运行出现故障时，乙方在接到甲方报修通知后，</w:t>
      </w:r>
      <w:r>
        <w:rPr>
          <w:rFonts w:hint="eastAsia" w:asciiTheme="minorEastAsia" w:hAnsiTheme="minorEastAsia" w:eastAsiaTheme="minorEastAsia" w:cstheme="minorEastAsia"/>
          <w:sz w:val="28"/>
          <w:szCs w:val="28"/>
          <w:u w:val="single"/>
        </w:rPr>
        <w:t xml:space="preserve"> 2 </w:t>
      </w:r>
      <w:r>
        <w:rPr>
          <w:rFonts w:hint="eastAsia" w:asciiTheme="minorEastAsia" w:hAnsiTheme="minorEastAsia" w:eastAsiaTheme="minorEastAsia" w:cstheme="minorEastAsia"/>
          <w:sz w:val="28"/>
          <w:szCs w:val="28"/>
        </w:rPr>
        <w:t>个小时内到达现场（交通或其他意外情况将可能适当延长），进行排除故障或采取相关的应急措施，直到恢复正常运行（设备零部件损坏，需加工或更换则除外）。</w:t>
      </w:r>
    </w:p>
    <w:p>
      <w:pPr>
        <w:pStyle w:val="7"/>
        <w:ind w:left="0" w:leftChars="0"/>
        <w:rPr>
          <w:rFonts w:hint="eastAsia"/>
          <w:b/>
          <w:sz w:val="28"/>
          <w:szCs w:val="28"/>
          <w:lang w:eastAsia="zh-CN"/>
        </w:rPr>
      </w:pPr>
      <w:r>
        <w:rPr>
          <w:rFonts w:hint="eastAsia"/>
          <w:b/>
          <w:sz w:val="28"/>
          <w:szCs w:val="28"/>
          <w:lang w:eastAsia="zh-CN"/>
        </w:rPr>
        <w:t>八、维护保养内容</w:t>
      </w:r>
    </w:p>
    <w:p>
      <w:pPr>
        <w:pStyle w:val="7"/>
        <w:ind w:left="0" w:leftChars="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lang w:eastAsia="zh-CN"/>
        </w:rPr>
        <w:t>指派</w:t>
      </w:r>
      <w:r>
        <w:rPr>
          <w:rFonts w:hint="eastAsia" w:asciiTheme="minorEastAsia" w:hAnsiTheme="minorEastAsia" w:eastAsiaTheme="minorEastAsia" w:cstheme="minorEastAsia"/>
          <w:sz w:val="28"/>
          <w:szCs w:val="28"/>
          <w:lang w:val="en-US" w:eastAsia="zh-CN"/>
        </w:rPr>
        <w:t>1-2名技术人员现场维护保养，</w:t>
      </w:r>
      <w:r>
        <w:rPr>
          <w:rFonts w:hint="eastAsia" w:asciiTheme="minorEastAsia" w:hAnsiTheme="minorEastAsia" w:eastAsiaTheme="minorEastAsia" w:cstheme="minorEastAsia"/>
          <w:sz w:val="28"/>
          <w:szCs w:val="28"/>
        </w:rPr>
        <w:t>确保每台设备每年全面保养维护</w:t>
      </w: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次，每台设备每</w:t>
      </w:r>
      <w:r>
        <w:rPr>
          <w:rFonts w:hint="eastAsia" w:asciiTheme="minorEastAsia" w:hAnsiTheme="minorEastAsia" w:eastAsiaTheme="minorEastAsia" w:cstheme="minorEastAsia"/>
          <w:sz w:val="28"/>
          <w:szCs w:val="28"/>
          <w:lang w:eastAsia="zh-CN"/>
        </w:rPr>
        <w:t>月</w:t>
      </w:r>
      <w:r>
        <w:rPr>
          <w:rFonts w:hint="eastAsia" w:asciiTheme="minorEastAsia" w:hAnsiTheme="minorEastAsia" w:eastAsiaTheme="minorEastAsia" w:cstheme="minorEastAsia"/>
          <w:sz w:val="28"/>
          <w:szCs w:val="28"/>
        </w:rPr>
        <w:t>例行维护检查</w:t>
      </w: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次。</w:t>
      </w:r>
    </w:p>
    <w:p>
      <w:pPr>
        <w:pStyle w:val="7"/>
        <w:ind w:left="0"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1．切断电气开关，切断气源：</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在检修过程中禁止其他人员误操作使热水器投入工作而引起事故。</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检查所有电气连接端子是否完好和连接可靠；</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损坏的电气元件应该立即更换；</w:t>
      </w:r>
    </w:p>
    <w:p>
      <w:pPr>
        <w:pStyle w:val="7"/>
        <w:ind w:left="0"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2．排水：  </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关闭热水炉冷水进水阀；</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排水口接上软管并通至地漏；</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打开排污阀，打开热水出水龙头，将热水器内的热水排净；</w:t>
      </w:r>
    </w:p>
    <w:p>
      <w:pPr>
        <w:pStyle w:val="7"/>
        <w:ind w:left="0"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3．除垢：</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卸下安全阀，如果安全阀结水垢，应该进行除垢处理；</w:t>
      </w:r>
    </w:p>
    <w:p>
      <w:pPr>
        <w:pStyle w:val="7"/>
        <w:ind w:left="899" w:leftChars="428"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按照除垢剂使用说明，兑制质量百分比小于10%除垢溶液（只能使用瑞美认证的除垢剂）。</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运用虹吸原理，将除垢剂溶液从安全阀口导入炉体内。</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确保除垢剂在炉体内浸泡规定的时间，具体时间视结垢程度而定。</w:t>
      </w:r>
    </w:p>
    <w:p>
      <w:pPr>
        <w:pStyle w:val="7"/>
        <w:ind w:left="899" w:leftChars="428"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添加除垢剂：若浸泡一段时间后，从排污阀放出的溶液颜色为黄色，说明除垢剂的有效成分已用完，需添加新的除垢剂，直至溶液颜色由黄色变为红色，继续浸泡。</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安装外侧手孔盖板；</w:t>
      </w:r>
    </w:p>
    <w:p>
      <w:pPr>
        <w:pStyle w:val="7"/>
        <w:ind w:left="0"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除垢工作结束后：</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安装温度压力安全阀；</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打开进水阀门及排污阀，对内胆进行反复冲洗，直至所放出的水洁净为止。</w:t>
      </w:r>
    </w:p>
    <w:p>
      <w:pPr>
        <w:pStyle w:val="7"/>
        <w:ind w:left="0"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4．检查阳极棒：检查之前请将热水炉的水排空！</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移开热水炉的烟帽；</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从热水炉排烟口出口用套筒扳手拆下阳极棒并清洗；</w:t>
      </w:r>
    </w:p>
    <w:p>
      <w:pPr>
        <w:pStyle w:val="7"/>
        <w:ind w:left="899" w:leftChars="428"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如已能看到阳极棒内部金属丝则需更换阳极棒；拧紧阳极棒；   </w:t>
      </w:r>
    </w:p>
    <w:p>
      <w:pPr>
        <w:pStyle w:val="7"/>
        <w:ind w:left="0"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5．热水炉注水并检查水管路是否有泄露；</w:t>
      </w:r>
    </w:p>
    <w:p>
      <w:pPr>
        <w:pStyle w:val="7"/>
        <w:ind w:left="0"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6．检修燃烧系统：</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卸下所有主燃烧器和小火燃烧器；</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清理小火燃烧器和小火喷嘴；检查小火燃烧器组件感测探头；</w:t>
      </w:r>
    </w:p>
    <w:p>
      <w:pPr>
        <w:pStyle w:val="7"/>
        <w:ind w:left="899" w:leftChars="428"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检查清理主燃烧器的引射口和火口；可以利用真空吸尘器/毛刷或钢丝刷清理主燃烧器；</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清理主喷嘴；用抹布去除烟黑和积碳；</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重新装上主燃烧器和小火燃烧器，确保燃烧器正确安装在托架上</w:t>
      </w:r>
    </w:p>
    <w:p>
      <w:pPr>
        <w:pStyle w:val="7"/>
        <w:ind w:left="0"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7．检查设备间的通风状况；检查烟道连接处的密封性；</w:t>
      </w:r>
    </w:p>
    <w:p>
      <w:pPr>
        <w:pStyle w:val="7"/>
        <w:ind w:left="0"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8．清除进气口集污段内的杂质；</w:t>
      </w:r>
    </w:p>
    <w:p>
      <w:pPr>
        <w:pStyle w:val="7"/>
        <w:ind w:left="0"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9．检查气路的密封性，不能用明火试漏；</w:t>
      </w:r>
    </w:p>
    <w:p>
      <w:pPr>
        <w:pStyle w:val="7"/>
        <w:ind w:left="0"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10．接通电气开关，观察热水炉的运行；检查排烟情况；</w:t>
      </w:r>
    </w:p>
    <w:p>
      <w:pPr>
        <w:pStyle w:val="7"/>
        <w:ind w:left="0"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11．检查燃气静压和系统工作的动压，不能超过额定范围；</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保证气体完全燃烧；</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保证火焰不离焰；</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调整辅助燃烧器火焰能作到迅速点火并使火焰蔓延至整个燃烧器；</w:t>
      </w:r>
    </w:p>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保证点火、燃烧和熄灭期间运转相当平静；</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按照《安装与使用说明书》的要求进行其他相关检查；</w:t>
      </w:r>
    </w:p>
    <w:p>
      <w:pPr>
        <w:pStyle w:val="2"/>
        <w:rPr>
          <w:rFonts w:hint="eastAsia"/>
        </w:rPr>
      </w:pPr>
    </w:p>
    <w:p>
      <w:pPr>
        <w:pStyle w:val="11"/>
        <w:numPr>
          <w:ilvl w:val="0"/>
          <w:numId w:val="0"/>
        </w:numPr>
        <w:spacing w:line="500" w:lineRule="exact"/>
        <w:ind w:leftChars="0"/>
        <w:jc w:val="left"/>
        <w:rPr>
          <w:rFonts w:ascii="宋体" w:hAnsi="宋体" w:eastAsia="宋体" w:cs="Times New Roman"/>
          <w:b/>
          <w:sz w:val="24"/>
          <w:szCs w:val="24"/>
        </w:rPr>
      </w:pPr>
      <w:r>
        <w:rPr>
          <w:rFonts w:hint="eastAsia" w:ascii="宋体" w:hAnsi="宋体" w:eastAsia="宋体" w:cs="Times New Roman"/>
          <w:b/>
          <w:sz w:val="24"/>
          <w:szCs w:val="24"/>
          <w:lang w:eastAsia="zh-CN"/>
        </w:rPr>
        <w:t>八、</w:t>
      </w:r>
      <w:r>
        <w:rPr>
          <w:rFonts w:hint="eastAsia" w:ascii="宋体" w:hAnsi="宋体" w:eastAsia="宋体" w:cs="Times New Roman"/>
          <w:b/>
          <w:sz w:val="24"/>
          <w:szCs w:val="24"/>
        </w:rPr>
        <w:t>结算与付款：</w:t>
      </w:r>
    </w:p>
    <w:p>
      <w:pPr>
        <w:pStyle w:val="11"/>
        <w:spacing w:line="520" w:lineRule="exact"/>
        <w:ind w:left="720" w:firstLine="0" w:firstLineChars="0"/>
        <w:rPr>
          <w:rFonts w:ascii="宋体" w:hAnsi="宋体"/>
          <w:color w:val="000000"/>
          <w:sz w:val="28"/>
          <w:szCs w:val="28"/>
        </w:rPr>
      </w:pPr>
      <w:r>
        <w:rPr>
          <w:rFonts w:hint="eastAsia" w:ascii="宋体" w:hAnsi="宋体" w:eastAsia="宋体" w:cs="Times New Roman"/>
          <w:color w:val="000000"/>
          <w:sz w:val="28"/>
          <w:szCs w:val="28"/>
        </w:rPr>
        <w:t>付款方式：</w:t>
      </w:r>
      <w:r>
        <w:rPr>
          <w:rFonts w:hint="eastAsia" w:ascii="宋体" w:hAnsi="宋体" w:eastAsia="宋体" w:cs="Times New Roman"/>
          <w:color w:val="000000"/>
          <w:sz w:val="28"/>
          <w:szCs w:val="28"/>
          <w:lang w:eastAsia="zh-CN"/>
        </w:rPr>
        <w:t>全年分二次付款，第一次</w:t>
      </w:r>
      <w:r>
        <w:rPr>
          <w:rFonts w:hint="eastAsia" w:ascii="宋体" w:hAnsi="宋体" w:eastAsia="宋体" w:cs="Times New Roman"/>
          <w:color w:val="000000"/>
          <w:sz w:val="28"/>
          <w:szCs w:val="28"/>
          <w:lang w:val="en-US" w:eastAsia="zh-CN"/>
        </w:rPr>
        <w:t>5月份，第二次10月份。</w:t>
      </w:r>
    </w:p>
    <w:p>
      <w:pPr>
        <w:pStyle w:val="7"/>
        <w:ind w:left="0" w:leftChars="0" w:firstLine="0" w:firstLineChars="0"/>
        <w:rPr>
          <w:rFonts w:hint="eastAsia" w:asciiTheme="minorEastAsia" w:hAnsiTheme="minorEastAsia" w:eastAsiaTheme="minorEastAsia" w:cstheme="minorEastAsia"/>
          <w:b/>
          <w:i w:val="0"/>
          <w:iCs w:val="0"/>
          <w:color w:val="000000"/>
        </w:rPr>
      </w:pPr>
      <w:r>
        <w:rPr>
          <w:rFonts w:hint="eastAsia" w:asciiTheme="minorEastAsia" w:hAnsiTheme="minorEastAsia" w:eastAsiaTheme="minorEastAsia" w:cstheme="minorEastAsia"/>
          <w:b/>
          <w:bCs/>
          <w:i w:val="0"/>
          <w:iCs w:val="0"/>
          <w:sz w:val="28"/>
          <w:szCs w:val="22"/>
        </w:rPr>
        <w:t>附件：容积式商用燃气炉《零配件价格</w:t>
      </w:r>
      <w:r>
        <w:rPr>
          <w:rFonts w:hint="eastAsia" w:asciiTheme="minorEastAsia" w:hAnsiTheme="minorEastAsia" w:eastAsiaTheme="minorEastAsia" w:cstheme="minorEastAsia"/>
          <w:b/>
          <w:bCs/>
          <w:i w:val="0"/>
          <w:iCs w:val="0"/>
          <w:sz w:val="28"/>
          <w:szCs w:val="22"/>
          <w:lang w:eastAsia="zh-CN"/>
        </w:rPr>
        <w:t>报价</w:t>
      </w:r>
      <w:r>
        <w:rPr>
          <w:rFonts w:hint="eastAsia" w:asciiTheme="minorEastAsia" w:hAnsiTheme="minorEastAsia" w:eastAsiaTheme="minorEastAsia" w:cstheme="minorEastAsia"/>
          <w:b/>
          <w:bCs/>
          <w:i w:val="0"/>
          <w:iCs w:val="0"/>
          <w:sz w:val="28"/>
          <w:szCs w:val="22"/>
        </w:rPr>
        <w:t>表》</w:t>
      </w:r>
    </w:p>
    <w:tbl>
      <w:tblPr>
        <w:tblStyle w:val="8"/>
        <w:tblW w:w="8060" w:type="dxa"/>
        <w:tblInd w:w="-10" w:type="dxa"/>
        <w:tblLayout w:type="fixed"/>
        <w:tblCellMar>
          <w:top w:w="0" w:type="dxa"/>
          <w:left w:w="0" w:type="dxa"/>
          <w:bottom w:w="0" w:type="dxa"/>
          <w:right w:w="0" w:type="dxa"/>
        </w:tblCellMar>
      </w:tblPr>
      <w:tblGrid>
        <w:gridCol w:w="540"/>
        <w:gridCol w:w="1912"/>
        <w:gridCol w:w="2488"/>
        <w:gridCol w:w="1210"/>
        <w:gridCol w:w="1910"/>
      </w:tblGrid>
      <w:tr>
        <w:tblPrEx>
          <w:tblCellMar>
            <w:top w:w="0" w:type="dxa"/>
            <w:left w:w="0" w:type="dxa"/>
            <w:bottom w:w="0" w:type="dxa"/>
            <w:right w:w="0" w:type="dxa"/>
          </w:tblCellMar>
        </w:tblPrEx>
        <w:trPr>
          <w:trHeight w:val="24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912"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规</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eastAsia="zh-CN"/>
              </w:rPr>
              <w:t>格</w:t>
            </w:r>
          </w:p>
        </w:tc>
        <w:tc>
          <w:tcPr>
            <w:tcW w:w="2488"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称</w:t>
            </w:r>
          </w:p>
        </w:tc>
        <w:tc>
          <w:tcPr>
            <w:tcW w:w="1210"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价</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eastAsia="zh-CN"/>
              </w:rPr>
              <w:t>格</w:t>
            </w:r>
          </w:p>
        </w:tc>
        <w:tc>
          <w:tcPr>
            <w:tcW w:w="1910"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备</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eastAsia="zh-CN"/>
              </w:rPr>
              <w:t>注</w:t>
            </w: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9050014-000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220V转24V变压器</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9050015-000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通用强排风机配件包</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9030001-000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直管DN20*125</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9030002-000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直管DN20*80</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9030003-000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弯头3/4</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9030004-000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外丝直接3/4</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9070030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烟道挡板节流片</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9220002</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风压开关连接头</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3180136-000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六角铜棒S22</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912" w:type="dxa"/>
            <w:tcBorders>
              <w:top w:val="nil"/>
              <w:left w:val="nil"/>
              <w:bottom w:val="nil"/>
              <w:right w:val="nil"/>
            </w:tcBorders>
            <w:noWrap w:val="0"/>
            <w:vAlign w:val="bottom"/>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9220003-000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G100室外型探头转接头</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9100001-000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G100室外型气道</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9100002-000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强排式气道顶盖</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9050003-000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EBM风机</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9050004-000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Honeywell风压开关</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9050016-000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强排式连接线</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9100005-000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强排式排烟罩顶板</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9100006-001</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强排式排烟罩百叶窗</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9100009-000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强排式排烟罩</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9100010-001</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强排式排风道</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9100007-000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G100燃烧器底盒</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9070002-000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G100室外型进气管</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9050005-000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继电器支座</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8231501-000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G100燃气阀（天然气）</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8231502-000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G100燃气阀（液化气）</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8231503-000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G100蝶阀组件</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8231504-000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G100点火控制板</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8231505-000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G100点火线</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8231506-000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G100长明火架</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8231507-000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G100变压器</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8231508-000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G100温控器</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8231509-000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G100安全阀</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8231510-000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G100控制盒</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8231511-000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G100排水阀</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8231512-000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G100燃烧器片</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8231515-000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点火针</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9120001-000</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产品说明书</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w:t>
            </w: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9120001-001</w:t>
            </w: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除垢液</w:t>
            </w: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240" w:hRule="atLeast"/>
        </w:trPr>
        <w:tc>
          <w:tcPr>
            <w:tcW w:w="540"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2488"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2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191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r>
    </w:tbl>
    <w:p>
      <w:pPr>
        <w:jc w:val="center"/>
        <w:rPr>
          <w:rFonts w:hint="eastAsia" w:asciiTheme="minorEastAsia" w:hAnsiTheme="minorEastAsia" w:eastAsiaTheme="minorEastAsia" w:cstheme="minorEastAsia"/>
          <w:sz w:val="21"/>
          <w:szCs w:val="21"/>
        </w:rPr>
      </w:pPr>
    </w:p>
    <w:p>
      <w:pPr>
        <w:rPr>
          <w:sz w:val="32"/>
          <w:szCs w:val="32"/>
        </w:rPr>
      </w:pPr>
    </w:p>
    <w:p>
      <w:pPr>
        <w:rPr>
          <w:sz w:val="32"/>
          <w:szCs w:val="32"/>
        </w:rPr>
      </w:pPr>
    </w:p>
    <w:p>
      <w:pPr>
        <w:jc w:val="right"/>
        <w:rPr>
          <w:sz w:val="32"/>
          <w:szCs w:val="32"/>
        </w:rPr>
      </w:pPr>
      <w:r>
        <w:rPr>
          <w:sz w:val="32"/>
          <w:szCs w:val="32"/>
        </w:rPr>
        <w:t>上海政法学院后勤保障处</w:t>
      </w:r>
    </w:p>
    <w:p>
      <w:pPr>
        <w:jc w:val="right"/>
        <w:rPr>
          <w:sz w:val="32"/>
          <w:szCs w:val="32"/>
        </w:rPr>
      </w:pPr>
      <w:r>
        <w:rPr>
          <w:rFonts w:hint="eastAsia"/>
          <w:sz w:val="32"/>
          <w:szCs w:val="32"/>
        </w:rPr>
        <w:t>20</w:t>
      </w:r>
      <w:r>
        <w:rPr>
          <w:rFonts w:hint="eastAsia"/>
          <w:sz w:val="32"/>
          <w:szCs w:val="32"/>
          <w:lang w:val="en-US" w:eastAsia="zh-CN"/>
        </w:rPr>
        <w:t>21</w:t>
      </w:r>
      <w:r>
        <w:rPr>
          <w:rFonts w:hint="eastAsia"/>
          <w:sz w:val="32"/>
          <w:szCs w:val="32"/>
        </w:rPr>
        <w:t>年</w:t>
      </w:r>
      <w:r>
        <w:rPr>
          <w:rFonts w:hint="eastAsia"/>
          <w:sz w:val="32"/>
          <w:szCs w:val="32"/>
          <w:lang w:val="en-US" w:eastAsia="zh-CN"/>
        </w:rPr>
        <w:t>12</w:t>
      </w:r>
      <w:r>
        <w:rPr>
          <w:rFonts w:hint="eastAsia"/>
          <w:sz w:val="32"/>
          <w:szCs w:val="32"/>
        </w:rPr>
        <w:t>月</w:t>
      </w:r>
      <w:r>
        <w:rPr>
          <w:rFonts w:hint="eastAsia"/>
          <w:sz w:val="32"/>
          <w:szCs w:val="32"/>
          <w:lang w:val="en-US" w:eastAsia="zh-CN"/>
        </w:rPr>
        <w:t>6</w:t>
      </w:r>
      <w:r>
        <w:rPr>
          <w:rFonts w:hint="eastAsia"/>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auto"/>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8014785"/>
      <w:docPartObj>
        <w:docPartGallery w:val="autotext"/>
      </w:docPartObj>
    </w:sdtPr>
    <w:sdtContent>
      <w:p>
        <w:pPr>
          <w:pStyle w:val="5"/>
          <w:jc w:val="right"/>
        </w:pPr>
        <w:r>
          <w:fldChar w:fldCharType="begin"/>
        </w:r>
        <w:r>
          <w:instrText xml:space="preserve">PAGE   \* MERGEFORMAT</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04E40"/>
    <w:multiLevelType w:val="singleLevel"/>
    <w:tmpl w:val="A7D04E40"/>
    <w:lvl w:ilvl="0" w:tentative="0">
      <w:start w:val="6"/>
      <w:numFmt w:val="chineseCounting"/>
      <w:suff w:val="nothing"/>
      <w:lvlText w:val="%1、"/>
      <w:lvlJc w:val="left"/>
      <w:rPr>
        <w:rFonts w:hint="eastAsia"/>
      </w:rPr>
    </w:lvl>
  </w:abstractNum>
  <w:abstractNum w:abstractNumId="1">
    <w:nsid w:val="24F46FD2"/>
    <w:multiLevelType w:val="multilevel"/>
    <w:tmpl w:val="24F46FD2"/>
    <w:lvl w:ilvl="0" w:tentative="0">
      <w:start w:val="1"/>
      <w:numFmt w:val="decimal"/>
      <w:lvlText w:val="%1、"/>
      <w:lvlJc w:val="left"/>
      <w:pPr>
        <w:ind w:left="1020" w:hanging="45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2">
    <w:nsid w:val="40B81FA6"/>
    <w:multiLevelType w:val="multilevel"/>
    <w:tmpl w:val="40B81FA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3B2897"/>
    <w:multiLevelType w:val="multilevel"/>
    <w:tmpl w:val="7C3B2897"/>
    <w:lvl w:ilvl="0" w:tentative="0">
      <w:start w:val="1"/>
      <w:numFmt w:val="decimal"/>
      <w:lvlText w:val="%1、"/>
      <w:lvlJc w:val="left"/>
      <w:pPr>
        <w:tabs>
          <w:tab w:val="left" w:pos="839"/>
        </w:tabs>
        <w:ind w:left="839" w:hanging="360"/>
      </w:pPr>
      <w:rPr>
        <w:rFonts w:hint="eastAsia"/>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9D"/>
    <w:rsid w:val="00097B75"/>
    <w:rsid w:val="000C09F3"/>
    <w:rsid w:val="0010639D"/>
    <w:rsid w:val="00116C6D"/>
    <w:rsid w:val="001941E6"/>
    <w:rsid w:val="001C3CF3"/>
    <w:rsid w:val="001D23D4"/>
    <w:rsid w:val="00284CEF"/>
    <w:rsid w:val="00295E75"/>
    <w:rsid w:val="002A6C6A"/>
    <w:rsid w:val="003E5BC6"/>
    <w:rsid w:val="00433B79"/>
    <w:rsid w:val="004409E6"/>
    <w:rsid w:val="004A67A0"/>
    <w:rsid w:val="00534970"/>
    <w:rsid w:val="005479FA"/>
    <w:rsid w:val="005A4EB4"/>
    <w:rsid w:val="006F6EB8"/>
    <w:rsid w:val="0074183F"/>
    <w:rsid w:val="00760A69"/>
    <w:rsid w:val="00815AAE"/>
    <w:rsid w:val="008921B9"/>
    <w:rsid w:val="008A13F7"/>
    <w:rsid w:val="00900059"/>
    <w:rsid w:val="0092762C"/>
    <w:rsid w:val="00927E67"/>
    <w:rsid w:val="00A17649"/>
    <w:rsid w:val="00A90184"/>
    <w:rsid w:val="00A9399C"/>
    <w:rsid w:val="00AD7AF4"/>
    <w:rsid w:val="00AF3AEA"/>
    <w:rsid w:val="00B20586"/>
    <w:rsid w:val="00C15D21"/>
    <w:rsid w:val="00C50388"/>
    <w:rsid w:val="00CB0157"/>
    <w:rsid w:val="00CB2AA1"/>
    <w:rsid w:val="00D15A51"/>
    <w:rsid w:val="00D30925"/>
    <w:rsid w:val="00D332E7"/>
    <w:rsid w:val="00D427DC"/>
    <w:rsid w:val="00D700AA"/>
    <w:rsid w:val="00D91F4F"/>
    <w:rsid w:val="00DD6FCA"/>
    <w:rsid w:val="00ED5CC8"/>
    <w:rsid w:val="00EE018B"/>
    <w:rsid w:val="00EE5D62"/>
    <w:rsid w:val="00EF7477"/>
    <w:rsid w:val="00F334CB"/>
    <w:rsid w:val="00F823F7"/>
    <w:rsid w:val="00FA36F6"/>
    <w:rsid w:val="00FA6B88"/>
    <w:rsid w:val="00FF7AFB"/>
    <w:rsid w:val="03F51DDD"/>
    <w:rsid w:val="0B361BCE"/>
    <w:rsid w:val="12707790"/>
    <w:rsid w:val="19573031"/>
    <w:rsid w:val="1A9572CB"/>
    <w:rsid w:val="1ABA4215"/>
    <w:rsid w:val="1ABB0E46"/>
    <w:rsid w:val="27074B57"/>
    <w:rsid w:val="353F751F"/>
    <w:rsid w:val="35525E69"/>
    <w:rsid w:val="38BB75FD"/>
    <w:rsid w:val="390340F0"/>
    <w:rsid w:val="3FCF7E7D"/>
    <w:rsid w:val="49B1021C"/>
    <w:rsid w:val="52FD29A2"/>
    <w:rsid w:val="6895387F"/>
    <w:rsid w:val="749D48CA"/>
    <w:rsid w:val="7E426B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napToGrid w:val="0"/>
      <w:spacing w:after="60" w:line="264" w:lineRule="auto"/>
      <w:ind w:left="420" w:leftChars="200" w:firstLine="480" w:firstLineChars="200"/>
    </w:pPr>
    <w:rPr>
      <w:rFonts w:ascii="仿宋_GB2312" w:eastAsia="仿宋_GB2312"/>
      <w:sz w:val="24"/>
      <w:szCs w:val="20"/>
    </w:rPr>
  </w:style>
  <w:style w:type="character" w:styleId="10">
    <w:name w:val="Hyperlink"/>
    <w:basedOn w:val="9"/>
    <w:qFormat/>
    <w:uiPriority w:val="0"/>
    <w:rPr>
      <w:color w:val="000000"/>
      <w:u w:val="none"/>
    </w:rPr>
  </w:style>
  <w:style w:type="paragraph" w:styleId="11">
    <w:name w:val="List Paragraph"/>
    <w:basedOn w:val="1"/>
    <w:qFormat/>
    <w:uiPriority w:val="34"/>
    <w:pPr>
      <w:ind w:firstLine="420" w:firstLineChars="200"/>
    </w:pPr>
  </w:style>
  <w:style w:type="character" w:customStyle="1" w:styleId="12">
    <w:name w:val="批注框文本 Char"/>
    <w:basedOn w:val="9"/>
    <w:link w:val="4"/>
    <w:semiHidden/>
    <w:qFormat/>
    <w:uiPriority w:val="99"/>
    <w:rPr>
      <w:sz w:val="18"/>
      <w:szCs w:val="18"/>
    </w:rPr>
  </w:style>
  <w:style w:type="character" w:customStyle="1" w:styleId="13">
    <w:name w:val="日期 Char"/>
    <w:basedOn w:val="9"/>
    <w:link w:val="3"/>
    <w:semiHidden/>
    <w:qFormat/>
    <w:uiPriority w:val="99"/>
  </w:style>
  <w:style w:type="character" w:customStyle="1" w:styleId="14">
    <w:name w:val="页眉 Char"/>
    <w:basedOn w:val="9"/>
    <w:link w:val="6"/>
    <w:qFormat/>
    <w:uiPriority w:val="99"/>
    <w:rPr>
      <w:sz w:val="18"/>
      <w:szCs w:val="18"/>
    </w:rPr>
  </w:style>
  <w:style w:type="character" w:customStyle="1" w:styleId="15">
    <w:name w:val="页脚 Char"/>
    <w:basedOn w:val="9"/>
    <w:link w:val="5"/>
    <w:qFormat/>
    <w:uiPriority w:val="99"/>
    <w:rPr>
      <w:sz w:val="18"/>
      <w:szCs w:val="18"/>
    </w:rPr>
  </w:style>
  <w:style w:type="character" w:customStyle="1" w:styleId="16">
    <w:name w:val="font41"/>
    <w:basedOn w:val="9"/>
    <w:qFormat/>
    <w:uiPriority w:val="0"/>
    <w:rPr>
      <w:rFonts w:ascii="Arial Narrow" w:hAnsi="Arial Narrow" w:eastAsia="Arial Narrow" w:cs="Arial Narrow"/>
      <w:b/>
      <w:color w:val="000000"/>
      <w:sz w:val="22"/>
      <w:szCs w:val="22"/>
      <w:u w:val="none"/>
    </w:rPr>
  </w:style>
  <w:style w:type="character" w:customStyle="1" w:styleId="17">
    <w:name w:val="font51"/>
    <w:basedOn w:val="9"/>
    <w:qFormat/>
    <w:uiPriority w:val="0"/>
    <w:rPr>
      <w:rFonts w:hint="eastAsia" w:ascii="新宋体" w:hAnsi="新宋体" w:eastAsia="新宋体" w:cs="新宋体"/>
      <w:b/>
      <w:color w:val="000000"/>
      <w:sz w:val="22"/>
      <w:szCs w:val="22"/>
      <w:u w:val="none"/>
    </w:rPr>
  </w:style>
  <w:style w:type="character" w:customStyle="1" w:styleId="18">
    <w:name w:val="font21"/>
    <w:basedOn w:val="9"/>
    <w:qFormat/>
    <w:uiPriority w:val="0"/>
    <w:rPr>
      <w:rFonts w:hint="eastAsia" w:ascii="新宋体" w:hAnsi="新宋体" w:eastAsia="新宋体" w:cs="新宋体"/>
      <w:color w:val="000000"/>
      <w:sz w:val="22"/>
      <w:szCs w:val="22"/>
      <w:u w:val="none"/>
      <w:vertAlign w:val="superscript"/>
    </w:rPr>
  </w:style>
  <w:style w:type="character" w:customStyle="1" w:styleId="19">
    <w:name w:val="font11"/>
    <w:basedOn w:val="9"/>
    <w:qFormat/>
    <w:uiPriority w:val="0"/>
    <w:rPr>
      <w:rFonts w:hint="default" w:ascii="Arial Narrow" w:hAnsi="Arial Narrow" w:eastAsia="Arial Narrow" w:cs="Arial Narrow"/>
      <w:color w:val="000000"/>
      <w:sz w:val="22"/>
      <w:szCs w:val="22"/>
      <w:u w:val="none"/>
      <w:vertAlign w:val="superscript"/>
    </w:rPr>
  </w:style>
  <w:style w:type="character" w:customStyle="1" w:styleId="20">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335</Words>
  <Characters>1910</Characters>
  <Lines>15</Lines>
  <Paragraphs>4</Paragraphs>
  <TotalTime>0</TotalTime>
  <ScaleCrop>false</ScaleCrop>
  <LinksUpToDate>false</LinksUpToDate>
  <CharactersWithSpaces>2241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2019-07-03T06:32:00Z</dcterms:created>
  <dc:creator>吴嘉佳</dc:creator>
  <cp:lastModifiedBy>bg4www</cp:lastModifiedBy>
  <cp:lastPrinted>2016-05-30T06:26:00Z</cp:lastPrinted>
  <dcterms:modified xsi:type="dcterms:W3CDTF">2021-12-21T02:38:34Z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B46979C7E3AD403F89E1E62AD13E828A</vt:lpwstr>
  </property>
</Properties>
</file>