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18" w:rsidRDefault="00B77218" w:rsidP="00B7721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p w:rsidR="00B77218" w:rsidRDefault="00B77218" w:rsidP="00B77218">
      <w:pPr>
        <w:spacing w:line="360" w:lineRule="auto"/>
        <w:jc w:val="center"/>
        <w:outlineLvl w:val="0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技术要求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一、项目概况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1、项目名称：基地虫害控制服务项目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2、预算金额：32000元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3、服务期限：2026年3月20日 - 2027年3月19日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4、付款方式：服务费用每半</w:t>
      </w:r>
      <w:proofErr w:type="gramStart"/>
      <w:r>
        <w:rPr>
          <w:rFonts w:ascii="仿宋" w:eastAsia="仿宋" w:hAnsi="仿宋" w:hint="eastAsia"/>
          <w:sz w:val="30"/>
          <w:szCs w:val="30"/>
        </w:rPr>
        <w:t>年支付</w:t>
      </w:r>
      <w:proofErr w:type="gramEnd"/>
      <w:r>
        <w:rPr>
          <w:rFonts w:ascii="仿宋" w:eastAsia="仿宋" w:hAnsi="仿宋" w:hint="eastAsia"/>
          <w:sz w:val="30"/>
          <w:szCs w:val="30"/>
        </w:rPr>
        <w:t>合同金额的50%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二、服务要求 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1、服务范围：基地占地面积66130平方米，总建筑面积为24976平方米，其中地上建筑面积22476平方米，地下建筑面积2500平方米。</w:t>
      </w:r>
    </w:p>
    <w:p w:rsidR="00B77218" w:rsidRDefault="00B77218" w:rsidP="00B77218">
      <w:pPr>
        <w:pStyle w:val="a3"/>
        <w:ind w:left="360" w:firstLineChars="0" w:firstLine="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（1）基地1号学员楼、2号学员楼、3号学员楼、专家楼内全部区域，共计客房267间。</w:t>
      </w:r>
    </w:p>
    <w:p w:rsidR="00B77218" w:rsidRDefault="00B77218" w:rsidP="00B77218">
      <w:pPr>
        <w:pStyle w:val="a3"/>
        <w:ind w:left="360" w:firstLineChars="0" w:firstLine="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（2）基地综合楼1-3层全部区域。</w:t>
      </w:r>
    </w:p>
    <w:p w:rsidR="00B77218" w:rsidRDefault="00B77218" w:rsidP="00B77218">
      <w:pPr>
        <w:pStyle w:val="a3"/>
        <w:ind w:left="360" w:firstLineChars="0" w:firstLine="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（3）基地办公楼1-2层及地下车库全部区域。</w:t>
      </w:r>
    </w:p>
    <w:p w:rsidR="00B77218" w:rsidRDefault="00B77218" w:rsidP="00B77218">
      <w:pPr>
        <w:pStyle w:val="a3"/>
        <w:ind w:left="360" w:firstLineChars="0" w:firstLine="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（4）基地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后勤楼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1-2层及民族风味餐厅、中西餐厅全部区域。</w:t>
      </w:r>
    </w:p>
    <w:p w:rsidR="00B77218" w:rsidRDefault="00B77218" w:rsidP="00B77218">
      <w:pPr>
        <w:pStyle w:val="a3"/>
        <w:ind w:left="360" w:firstLineChars="0" w:firstLine="0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（5）基地内外所有公共环境区域。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2、药品、器械 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虫害控制设施设备以及灭鼠剂、杀虫剂、毒饵盒等药品全部由中标人提供，且中标人须按上海市病媒生物防</w:t>
      </w:r>
      <w:proofErr w:type="gramStart"/>
      <w:r>
        <w:rPr>
          <w:rFonts w:ascii="仿宋" w:eastAsia="仿宋" w:hAnsi="仿宋" w:hint="eastAsia"/>
          <w:sz w:val="30"/>
          <w:szCs w:val="30"/>
        </w:rPr>
        <w:t>制协会</w:t>
      </w:r>
      <w:proofErr w:type="gramEnd"/>
      <w:r>
        <w:rPr>
          <w:rFonts w:ascii="仿宋" w:eastAsia="仿宋" w:hAnsi="仿宋" w:hint="eastAsia"/>
          <w:sz w:val="30"/>
          <w:szCs w:val="30"/>
        </w:rPr>
        <w:t>要求采购药品，药品为全国爱卫会认可的可用于食品相关行业无毒无害，对人畜无害，对环境无残留药物，标人须严格遵守药品使用规范。</w:t>
      </w:r>
      <w:r>
        <w:rPr>
          <w:rFonts w:ascii="仿宋" w:eastAsia="仿宋" w:hAnsi="仿宋" w:hint="eastAsia"/>
          <w:sz w:val="30"/>
          <w:szCs w:val="30"/>
        </w:rPr>
        <w:lastRenderedPageBreak/>
        <w:t>因药品选择、储存、施用不当所引发的一切安全事故（如人畜中毒、环境污染等），由中标人承担全部法律责任。中标人以包工、包料方式承接采购人委托的虫害防治作业，作业所用的专用机械、工具及各种杀虫剂等物品均由中标人承担。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3、服务内容 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（1）蚊、蝇、蟑螂、老鼠、其他虫害的灭杀及孳生控制技术服务； 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（2）开展病媒生物防</w:t>
      </w:r>
      <w:proofErr w:type="gramStart"/>
      <w:r>
        <w:rPr>
          <w:rFonts w:ascii="仿宋" w:eastAsia="仿宋" w:hAnsi="仿宋" w:hint="eastAsia"/>
          <w:sz w:val="30"/>
          <w:szCs w:val="30"/>
        </w:rPr>
        <w:t>制设施</w:t>
      </w:r>
      <w:proofErr w:type="gramEnd"/>
      <w:r>
        <w:rPr>
          <w:rFonts w:ascii="仿宋" w:eastAsia="仿宋" w:hAnsi="仿宋" w:hint="eastAsia"/>
          <w:sz w:val="30"/>
          <w:szCs w:val="30"/>
        </w:rPr>
        <w:t>调查及配合开展健康教育；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（3）所有外环境的灭</w:t>
      </w:r>
      <w:proofErr w:type="gramStart"/>
      <w:r>
        <w:rPr>
          <w:rFonts w:ascii="仿宋" w:eastAsia="仿宋" w:hAnsi="仿宋" w:hint="eastAsia"/>
          <w:sz w:val="30"/>
          <w:szCs w:val="30"/>
        </w:rPr>
        <w:t>蟑</w:t>
      </w:r>
      <w:proofErr w:type="gramEnd"/>
      <w:r>
        <w:rPr>
          <w:rFonts w:ascii="仿宋" w:eastAsia="仿宋" w:hAnsi="仿宋" w:hint="eastAsia"/>
          <w:sz w:val="30"/>
          <w:szCs w:val="30"/>
        </w:rPr>
        <w:t>、灭鼠填缝堵洞处理，在合同期间负责无偿补鼠洞、填缝处理和维护毒饵盒等；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（4）工作规范，建立健全病媒生物防制服务技术档案，包括实施方案、本底情况调查报告、工作进度安排、监测记录、派工记录、认同签字单等。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（5）须派2名专业技术人员，至少每周一次对上述服务范围进行全面消杀服务工作，以及虫害巡查、监测作业。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三、服务标准 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按照国家和上海市规定文件标准执行。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1、灭鼠标准：应</w:t>
      </w:r>
      <w:r>
        <w:rPr>
          <w:rFonts w:ascii="仿宋" w:eastAsia="仿宋" w:hAnsi="仿宋" w:cstheme="minorEastAsia" w:hint="eastAsia"/>
          <w:color w:val="000000" w:themeColor="text1"/>
          <w:spacing w:val="-10"/>
          <w:sz w:val="28"/>
          <w:szCs w:val="28"/>
          <w:lang w:bidi="zh-CN"/>
        </w:rPr>
        <w:t>达到GB/T27770规定的A 级水平，</w:t>
      </w:r>
      <w:r>
        <w:rPr>
          <w:rFonts w:ascii="仿宋" w:eastAsia="仿宋" w:hAnsi="仿宋" w:hint="eastAsia"/>
          <w:sz w:val="30"/>
          <w:szCs w:val="30"/>
        </w:rPr>
        <w:t>外环境累计2000</w:t>
      </w:r>
      <w:proofErr w:type="gramStart"/>
      <w:r>
        <w:rPr>
          <w:rFonts w:ascii="仿宋" w:eastAsia="仿宋" w:hAnsi="仿宋" w:hint="eastAsia"/>
          <w:sz w:val="30"/>
          <w:szCs w:val="30"/>
        </w:rPr>
        <w:t>延长米鼠</w:t>
      </w:r>
      <w:r>
        <w:rPr>
          <w:rFonts w:ascii="仿宋" w:eastAsia="仿宋" w:hAnsi="仿宋" w:cstheme="minorEastAsia" w:hint="eastAsia"/>
          <w:color w:val="000000" w:themeColor="text1"/>
          <w:spacing w:val="-10"/>
          <w:sz w:val="28"/>
          <w:szCs w:val="28"/>
          <w:lang w:bidi="zh-CN"/>
        </w:rPr>
        <w:t>迹</w:t>
      </w:r>
      <w:proofErr w:type="gramEnd"/>
      <w:r>
        <w:rPr>
          <w:rFonts w:ascii="仿宋" w:eastAsia="仿宋" w:hAnsi="仿宋" w:cstheme="minorEastAsia" w:hint="eastAsia"/>
          <w:color w:val="000000" w:themeColor="text1"/>
          <w:spacing w:val="-10"/>
          <w:sz w:val="28"/>
          <w:szCs w:val="28"/>
          <w:lang w:bidi="zh-CN"/>
        </w:rPr>
        <w:t>≤3处，</w:t>
      </w:r>
      <w:proofErr w:type="gramStart"/>
      <w:r>
        <w:rPr>
          <w:rFonts w:ascii="仿宋" w:eastAsia="仿宋" w:hAnsi="仿宋" w:hint="eastAsia"/>
          <w:sz w:val="30"/>
          <w:szCs w:val="30"/>
        </w:rPr>
        <w:t>室内鼠</w:t>
      </w:r>
      <w:proofErr w:type="gramEnd"/>
      <w:r>
        <w:rPr>
          <w:rFonts w:ascii="仿宋" w:eastAsia="仿宋" w:hAnsi="仿宋" w:hint="eastAsia"/>
          <w:sz w:val="30"/>
          <w:szCs w:val="30"/>
        </w:rPr>
        <w:t>迹阳性房间率≤2%，防鼠设施合格率≥98%。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2、灭蚊标准：应达到GB/T27771规定的A 级水平，外环境各种存水容器和积水中，蚊幼及蛹的阳性率≤3%，基地范围内不</w:t>
      </w:r>
      <w:r>
        <w:rPr>
          <w:rFonts w:ascii="仿宋" w:eastAsia="仿宋" w:hAnsi="仿宋" w:hint="eastAsia"/>
          <w:sz w:val="30"/>
          <w:szCs w:val="30"/>
        </w:rPr>
        <w:lastRenderedPageBreak/>
        <w:t>得有孳生环境和阳性孳生地，室内无成</w:t>
      </w:r>
      <w:proofErr w:type="gramStart"/>
      <w:r>
        <w:rPr>
          <w:rFonts w:ascii="仿宋" w:eastAsia="仿宋" w:hAnsi="仿宋" w:hint="eastAsia"/>
          <w:sz w:val="30"/>
          <w:szCs w:val="30"/>
        </w:rPr>
        <w:t>蚊</w:t>
      </w:r>
      <w:proofErr w:type="gramEnd"/>
      <w:r>
        <w:rPr>
          <w:rFonts w:ascii="仿宋" w:eastAsia="仿宋" w:hAnsi="仿宋" w:hint="eastAsia"/>
          <w:sz w:val="30"/>
          <w:szCs w:val="30"/>
        </w:rPr>
        <w:t>集聚。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3、灭蝇标准：应达到GB/T27772规定的A 级水平，环境蝇类孳生地得到有效治理，幼虫和</w:t>
      </w:r>
      <w:proofErr w:type="gramStart"/>
      <w:r>
        <w:rPr>
          <w:rFonts w:ascii="仿宋" w:eastAsia="仿宋" w:hAnsi="仿宋" w:hint="eastAsia"/>
          <w:sz w:val="30"/>
          <w:szCs w:val="30"/>
        </w:rPr>
        <w:t>蛹的</w:t>
      </w:r>
      <w:proofErr w:type="gramEnd"/>
      <w:r>
        <w:rPr>
          <w:rFonts w:ascii="仿宋" w:eastAsia="仿宋" w:hAnsi="仿宋" w:hint="eastAsia"/>
          <w:sz w:val="30"/>
          <w:szCs w:val="30"/>
        </w:rPr>
        <w:t>检出率≤3%；室内重点房间有蝇≤1%，重点区域及餐厅内不得有蝇，一般房间</w:t>
      </w:r>
      <w:proofErr w:type="gramStart"/>
      <w:r>
        <w:rPr>
          <w:rFonts w:ascii="仿宋" w:eastAsia="仿宋" w:hAnsi="仿宋" w:hint="eastAsia"/>
          <w:sz w:val="30"/>
          <w:szCs w:val="30"/>
        </w:rPr>
        <w:t>有蝇不超过</w:t>
      </w:r>
      <w:proofErr w:type="gramEnd"/>
      <w:r>
        <w:rPr>
          <w:rFonts w:ascii="仿宋" w:eastAsia="仿宋" w:hAnsi="仿宋" w:hint="eastAsia"/>
          <w:sz w:val="30"/>
          <w:szCs w:val="30"/>
        </w:rPr>
        <w:t>≤3%，防蝇设施合格率≥98%。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4、灭蟑螂标准：应达到GB/T27773规定的A 级水平，室内有蟑螂的房间≤3%，有活卵鞘房间≤2%，有蟑螂粪便、蜕皮、</w:t>
      </w:r>
      <w:proofErr w:type="gramStart"/>
      <w:r>
        <w:rPr>
          <w:rFonts w:ascii="仿宋" w:eastAsia="仿宋" w:hAnsi="仿宋" w:hint="eastAsia"/>
          <w:sz w:val="30"/>
          <w:szCs w:val="30"/>
        </w:rPr>
        <w:t>蟑</w:t>
      </w:r>
      <w:proofErr w:type="gramEnd"/>
      <w:r>
        <w:rPr>
          <w:rFonts w:ascii="仿宋" w:eastAsia="仿宋" w:hAnsi="仿宋" w:hint="eastAsia"/>
          <w:sz w:val="30"/>
          <w:szCs w:val="30"/>
        </w:rPr>
        <w:t>尸等</w:t>
      </w:r>
      <w:proofErr w:type="gramStart"/>
      <w:r>
        <w:rPr>
          <w:rFonts w:ascii="仿宋" w:eastAsia="仿宋" w:hAnsi="仿宋" w:hint="eastAsia"/>
          <w:sz w:val="30"/>
          <w:szCs w:val="30"/>
        </w:rPr>
        <w:t>蟑</w:t>
      </w:r>
      <w:proofErr w:type="gramEnd"/>
      <w:r>
        <w:rPr>
          <w:rFonts w:ascii="仿宋" w:eastAsia="仿宋" w:hAnsi="仿宋" w:hint="eastAsia"/>
          <w:sz w:val="30"/>
          <w:szCs w:val="30"/>
        </w:rPr>
        <w:t>迹的房间≤5%，蟑螂滋生环境得到有效治理。</w:t>
      </w:r>
    </w:p>
    <w:p w:rsidR="00B77218" w:rsidRDefault="00B77218" w:rsidP="00B77218">
      <w:pPr>
        <w:spacing w:line="360" w:lineRule="auto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5、其他虫害控制标准：按照国家和上海市相关标准执行。</w:t>
      </w:r>
    </w:p>
    <w:p w:rsidR="00B77218" w:rsidRDefault="00B77218" w:rsidP="00B77218">
      <w:pPr>
        <w:spacing w:line="360" w:lineRule="auto"/>
        <w:ind w:firstLineChars="200" w:firstLine="600"/>
        <w:outlineLvl w:val="0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四、用药及用具清单（包含但不限于）：</w:t>
      </w:r>
    </w:p>
    <w:tbl>
      <w:tblPr>
        <w:tblW w:w="8730" w:type="dxa"/>
        <w:jc w:val="center"/>
        <w:tblLayout w:type="fixed"/>
        <w:tblLook w:val="04A0" w:firstRow="1" w:lastRow="0" w:firstColumn="1" w:lastColumn="0" w:noHBand="0" w:noVBand="1"/>
      </w:tblPr>
      <w:tblGrid>
        <w:gridCol w:w="789"/>
        <w:gridCol w:w="2741"/>
        <w:gridCol w:w="1613"/>
        <w:gridCol w:w="1615"/>
        <w:gridCol w:w="1972"/>
      </w:tblGrid>
      <w:tr w:rsidR="00B77218" w:rsidTr="00B77218">
        <w:trPr>
          <w:trHeight w:val="1210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品名及有效成分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防治</w:t>
            </w:r>
          </w:p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对象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使用方法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使用区域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1%双硫磷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（蚊虫）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孑孓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投入水中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室外、室内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氟氯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啉</w:t>
            </w:r>
            <w:proofErr w:type="gramEnd"/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跳蚤、臭虫、蚂蚁、蚊、蝇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喷洒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室内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2.15%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啉</w:t>
            </w:r>
            <w:proofErr w:type="gramEnd"/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蜚蠊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点施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室内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10.4%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氯菊*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烯丙菊</w:t>
            </w:r>
            <w:proofErr w:type="gramEnd"/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蝇、蚊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空间喷雾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室内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2.5%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溴氰菊酯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蝇、蜚蠊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滞留喷洒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室内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灭鼠剂 0.005%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氟鼠灵</w:t>
            </w:r>
            <w:proofErr w:type="gramEnd"/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老鼠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室外、室内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3%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辛硫磷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马陆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撒施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室外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12%高氯毒死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蜱</w:t>
            </w:r>
            <w:proofErr w:type="gramEnd"/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蚊、蝇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洒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室外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硬粘鼠板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老鼠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布控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室外、室内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毒鼠盒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老鼠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布控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室外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捕蝇笼（带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剂）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蝇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布控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室外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饵</w:t>
            </w:r>
            <w:proofErr w:type="gramEnd"/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蟑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布控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室内</w:t>
            </w:r>
          </w:p>
        </w:tc>
      </w:tr>
      <w:tr w:rsidR="00B77218" w:rsidTr="00B77218">
        <w:trPr>
          <w:trHeight w:val="23"/>
          <w:jc w:val="center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蟑螂屋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蟑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布控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18" w:rsidRDefault="00B7721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室内</w:t>
            </w:r>
          </w:p>
        </w:tc>
      </w:tr>
    </w:tbl>
    <w:p w:rsidR="00B77218" w:rsidRDefault="00B77218" w:rsidP="00B77218">
      <w:pPr>
        <w:widowControl/>
        <w:autoSpaceDE w:val="0"/>
        <w:autoSpaceDN w:val="0"/>
        <w:spacing w:line="360" w:lineRule="auto"/>
        <w:jc w:val="center"/>
        <w:textAlignment w:val="bottom"/>
        <w:outlineLvl w:val="0"/>
        <w:rPr>
          <w:rFonts w:ascii="仿宋" w:eastAsia="仿宋" w:hAnsi="仿宋" w:hint="eastAsia"/>
          <w:sz w:val="30"/>
          <w:szCs w:val="30"/>
        </w:rPr>
      </w:pPr>
    </w:p>
    <w:p w:rsidR="009749B9" w:rsidRDefault="009749B9"/>
    <w:sectPr w:rsidR="00974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18"/>
    <w:rsid w:val="00496EBB"/>
    <w:rsid w:val="009749B9"/>
    <w:rsid w:val="00B7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2A93"/>
  <w15:chartTrackingRefBased/>
  <w15:docId w15:val="{7833A750-0FF0-412B-8F7D-3FF12DAE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1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2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潘彤璐</dc:creator>
  <cp:keywords/>
  <dc:description/>
  <cp:lastModifiedBy>潘彤璐</cp:lastModifiedBy>
  <cp:revision>1</cp:revision>
  <dcterms:created xsi:type="dcterms:W3CDTF">2025-12-25T05:51:00Z</dcterms:created>
  <dcterms:modified xsi:type="dcterms:W3CDTF">2025-12-25T05:52:00Z</dcterms:modified>
</cp:coreProperties>
</file>