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31" w:rsidRDefault="00430A31" w:rsidP="00430A31">
      <w:pPr>
        <w:jc w:val="center"/>
        <w:rPr>
          <w:rFonts w:ascii="黑体" w:eastAsia="黑体" w:hint="eastAsia"/>
          <w:sz w:val="36"/>
          <w:szCs w:val="36"/>
        </w:rPr>
      </w:pPr>
      <w:r w:rsidRPr="00430A31">
        <w:rPr>
          <w:rFonts w:ascii="黑体" w:eastAsia="黑体" w:hint="eastAsia"/>
          <w:sz w:val="36"/>
          <w:szCs w:val="36"/>
        </w:rPr>
        <w:t>财政部、外交部关于印发</w:t>
      </w:r>
      <w:proofErr w:type="gramStart"/>
      <w:r w:rsidRPr="00430A31">
        <w:rPr>
          <w:rFonts w:ascii="黑体" w:eastAsia="黑体" w:hint="eastAsia"/>
          <w:sz w:val="36"/>
          <w:szCs w:val="36"/>
        </w:rPr>
        <w:t>《</w:t>
      </w:r>
      <w:proofErr w:type="gramEnd"/>
      <w:r w:rsidRPr="00430A31">
        <w:rPr>
          <w:rFonts w:ascii="黑体" w:eastAsia="黑体" w:hint="eastAsia"/>
          <w:sz w:val="36"/>
          <w:szCs w:val="36"/>
        </w:rPr>
        <w:t>因公临时出国经费</w:t>
      </w:r>
    </w:p>
    <w:p w:rsidR="00430A31" w:rsidRPr="00430A31" w:rsidRDefault="00430A31" w:rsidP="00430A31">
      <w:pPr>
        <w:jc w:val="center"/>
        <w:rPr>
          <w:rFonts w:ascii="黑体" w:eastAsia="黑体" w:hint="eastAsia"/>
          <w:sz w:val="36"/>
          <w:szCs w:val="36"/>
        </w:rPr>
      </w:pPr>
      <w:r w:rsidRPr="00430A31">
        <w:rPr>
          <w:rFonts w:ascii="黑体" w:eastAsia="黑体" w:hint="eastAsia"/>
          <w:sz w:val="36"/>
          <w:szCs w:val="36"/>
        </w:rPr>
        <w:t>管理办法</w:t>
      </w:r>
      <w:proofErr w:type="gramStart"/>
      <w:r w:rsidRPr="00430A31">
        <w:rPr>
          <w:rFonts w:ascii="黑体" w:eastAsia="黑体" w:hint="eastAsia"/>
          <w:sz w:val="36"/>
          <w:szCs w:val="36"/>
        </w:rPr>
        <w:t>》</w:t>
      </w:r>
      <w:proofErr w:type="gramEnd"/>
      <w:r w:rsidRPr="00430A31">
        <w:rPr>
          <w:rFonts w:ascii="黑体" w:eastAsia="黑体" w:hint="eastAsia"/>
          <w:sz w:val="36"/>
          <w:szCs w:val="36"/>
        </w:rPr>
        <w:t>的通知</w:t>
      </w:r>
    </w:p>
    <w:p w:rsidR="006B7149" w:rsidRDefault="00430A31" w:rsidP="00430A31">
      <w:pPr>
        <w:jc w:val="center"/>
        <w:rPr>
          <w:rFonts w:ascii="仿宋_GB2312" w:eastAsia="仿宋_GB2312" w:hint="eastAsia"/>
          <w:b/>
          <w:sz w:val="28"/>
          <w:szCs w:val="28"/>
        </w:rPr>
      </w:pPr>
      <w:proofErr w:type="gramStart"/>
      <w:r w:rsidRPr="00430A31">
        <w:rPr>
          <w:rFonts w:ascii="仿宋_GB2312" w:eastAsia="仿宋_GB2312" w:hint="eastAsia"/>
          <w:b/>
          <w:sz w:val="28"/>
          <w:szCs w:val="28"/>
        </w:rPr>
        <w:t>财行</w:t>
      </w:r>
      <w:proofErr w:type="gramEnd"/>
      <w:r w:rsidRPr="00430A31">
        <w:rPr>
          <w:rFonts w:ascii="仿宋_GB2312" w:eastAsia="仿宋_GB2312" w:hint="eastAsia"/>
          <w:b/>
          <w:sz w:val="28"/>
          <w:szCs w:val="28"/>
        </w:rPr>
        <w:t>[2013]516号</w:t>
      </w:r>
    </w:p>
    <w:p w:rsidR="00430A31" w:rsidRDefault="00430A31" w:rsidP="00430A31">
      <w:pPr>
        <w:rPr>
          <w:rFonts w:ascii="仿宋_GB2312" w:eastAsia="仿宋_GB2312" w:hint="eastAsia"/>
          <w:b/>
          <w:sz w:val="28"/>
          <w:szCs w:val="28"/>
        </w:rPr>
      </w:pPr>
    </w:p>
    <w:p w:rsidR="00430A31" w:rsidRPr="00430A31" w:rsidRDefault="00430A31" w:rsidP="00430A31">
      <w:pPr>
        <w:pStyle w:val="a3"/>
        <w:widowControl w:val="0"/>
        <w:kinsoku w:val="0"/>
        <w:overflowPunct w:val="0"/>
        <w:autoSpaceDE w:val="0"/>
        <w:autoSpaceDN w:val="0"/>
        <w:adjustRightInd w:val="0"/>
        <w:snapToGrid w:val="0"/>
        <w:spacing w:before="0" w:beforeAutospacing="0" w:after="0" w:afterAutospacing="0" w:line="360" w:lineRule="auto"/>
        <w:rPr>
          <w:rFonts w:ascii="仿宋_GB2312" w:eastAsia="仿宋_GB2312" w:hAnsi="Arial" w:cs="Arial" w:hint="eastAsia"/>
          <w:sz w:val="28"/>
          <w:szCs w:val="28"/>
        </w:rPr>
      </w:pPr>
      <w:r w:rsidRPr="00430A31">
        <w:rPr>
          <w:rFonts w:ascii="仿宋_GB2312" w:eastAsia="仿宋_GB2312" w:hAnsi="Arial" w:cs="Arial" w:hint="eastAsia"/>
          <w:sz w:val="28"/>
          <w:szCs w:val="28"/>
        </w:rPr>
        <w:t>党中央各部门，国务院各部委、各直属机构，总后勤部、武警总部，全国人大常委会办公厅，全国政协办公厅，高法院，高检院，各人民团体，各民主党派，各省、自治区、直辖市、计划单列市财政厅（局）、人民政府外事办公室，新疆生产建设兵团财务局、外事局：</w:t>
      </w:r>
    </w:p>
    <w:p w:rsidR="00430A31" w:rsidRPr="00430A31" w:rsidRDefault="00430A31" w:rsidP="00430A31">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30A31">
        <w:rPr>
          <w:rFonts w:ascii="仿宋_GB2312" w:eastAsia="仿宋_GB2312" w:hAnsi="Arial" w:cs="Arial" w:hint="eastAsia"/>
          <w:sz w:val="28"/>
          <w:szCs w:val="28"/>
        </w:rPr>
        <w:t>根据中共中央政治局《关于改进工作作风、密切联系群众的八项规定》的要求和《党政机关厉行节约反对浪费条例》的精神，为进一步规范因公临时出国经费管理，我们对《临时出国人员费用开支标准和管理办法》（</w:t>
      </w:r>
      <w:proofErr w:type="gramStart"/>
      <w:r w:rsidRPr="00430A31">
        <w:rPr>
          <w:rFonts w:ascii="仿宋_GB2312" w:eastAsia="仿宋_GB2312" w:hAnsi="Arial" w:cs="Arial" w:hint="eastAsia"/>
          <w:sz w:val="28"/>
          <w:szCs w:val="28"/>
        </w:rPr>
        <w:t>财行〔2001〕</w:t>
      </w:r>
      <w:proofErr w:type="gramEnd"/>
      <w:r w:rsidRPr="00430A31">
        <w:rPr>
          <w:rFonts w:ascii="仿宋_GB2312" w:eastAsia="仿宋_GB2312" w:hAnsi="Arial" w:cs="Arial" w:hint="eastAsia"/>
          <w:sz w:val="28"/>
          <w:szCs w:val="28"/>
        </w:rPr>
        <w:t>73号）进行了修订。现将修订后的《因公临时出国经费管理办法》（以下简称《办法》）印发给你们，请认真遵照执行。</w:t>
      </w:r>
    </w:p>
    <w:p w:rsidR="00430A31" w:rsidRDefault="00430A31" w:rsidP="00430A31">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30A31">
        <w:rPr>
          <w:rFonts w:ascii="仿宋_GB2312" w:eastAsia="仿宋_GB2312" w:hAnsi="Arial" w:cs="Arial" w:hint="eastAsia"/>
          <w:sz w:val="28"/>
          <w:szCs w:val="28"/>
        </w:rPr>
        <w:t>请各地区各部门各单位根据《办法》基本原则和要求，结合实际制定具体规定，并于2014年2月1日前报送财政部备案。边境地区有频繁出国任务的，由所在省、自治区财政厅根据实际情况制定本地区因公临时出国经费开支标准和管理办法，并于2014年4月1日前报送财政部备案。</w:t>
      </w:r>
    </w:p>
    <w:p w:rsidR="00430A31" w:rsidRDefault="00430A31" w:rsidP="00430A31">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p>
    <w:p w:rsidR="00430A31" w:rsidRDefault="00430A31" w:rsidP="00430A31">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Pr>
          <w:rFonts w:ascii="仿宋_GB2312" w:eastAsia="仿宋_GB2312" w:hAnsi="Arial" w:cs="Arial" w:hint="eastAsia"/>
          <w:sz w:val="28"/>
          <w:szCs w:val="28"/>
        </w:rPr>
        <w:t>附件：因公临时出国经费管理办法</w:t>
      </w:r>
    </w:p>
    <w:p w:rsidR="00430A31" w:rsidRDefault="00430A31" w:rsidP="00430A31">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p>
    <w:p w:rsidR="00430A31" w:rsidRPr="00430A31" w:rsidRDefault="00430A31" w:rsidP="00430A31">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p>
    <w:p w:rsidR="00430A31" w:rsidRPr="00430A31" w:rsidRDefault="00430A31" w:rsidP="00430A31">
      <w:pPr>
        <w:pStyle w:val="a3"/>
        <w:widowControl w:val="0"/>
        <w:kinsoku w:val="0"/>
        <w:overflowPunct w:val="0"/>
        <w:autoSpaceDE w:val="0"/>
        <w:autoSpaceDN w:val="0"/>
        <w:adjustRightInd w:val="0"/>
        <w:snapToGrid w:val="0"/>
        <w:spacing w:before="0" w:beforeAutospacing="0" w:after="0" w:afterAutospacing="0" w:line="360" w:lineRule="auto"/>
        <w:jc w:val="right"/>
        <w:rPr>
          <w:rFonts w:ascii="仿宋_GB2312" w:eastAsia="仿宋_GB2312" w:hAnsi="Arial" w:cs="Arial" w:hint="eastAsia"/>
          <w:sz w:val="28"/>
          <w:szCs w:val="28"/>
        </w:rPr>
      </w:pPr>
      <w:r w:rsidRPr="00430A31">
        <w:rPr>
          <w:rFonts w:ascii="仿宋_GB2312" w:eastAsia="仿宋_GB2312" w:hAnsi="Arial" w:cs="Arial" w:hint="eastAsia"/>
          <w:sz w:val="28"/>
          <w:szCs w:val="28"/>
        </w:rPr>
        <w:t xml:space="preserve">　　财政部</w:t>
      </w:r>
      <w:r w:rsidRPr="00430A31">
        <w:rPr>
          <w:rFonts w:ascii="仿宋_GB2312" w:eastAsia="仿宋_GB2312" w:hAnsi="Arial" w:cs="Arial" w:hint="eastAsia"/>
          <w:sz w:val="28"/>
          <w:szCs w:val="28"/>
        </w:rPr>
        <w:t>    </w:t>
      </w:r>
      <w:r w:rsidRPr="00430A31">
        <w:rPr>
          <w:rFonts w:ascii="仿宋_GB2312" w:eastAsia="仿宋_GB2312" w:hAnsi="Arial" w:cs="Arial" w:hint="eastAsia"/>
          <w:sz w:val="28"/>
          <w:szCs w:val="28"/>
        </w:rPr>
        <w:t xml:space="preserve"> 外交部</w:t>
      </w:r>
    </w:p>
    <w:p w:rsidR="00430A31" w:rsidRPr="00430A31" w:rsidRDefault="00430A31" w:rsidP="00430A31">
      <w:pPr>
        <w:pStyle w:val="a3"/>
        <w:widowControl w:val="0"/>
        <w:kinsoku w:val="0"/>
        <w:overflowPunct w:val="0"/>
        <w:autoSpaceDE w:val="0"/>
        <w:autoSpaceDN w:val="0"/>
        <w:adjustRightInd w:val="0"/>
        <w:snapToGrid w:val="0"/>
        <w:spacing w:before="0" w:beforeAutospacing="0" w:after="0" w:afterAutospacing="0" w:line="360" w:lineRule="auto"/>
        <w:jc w:val="right"/>
        <w:rPr>
          <w:rFonts w:ascii="仿宋_GB2312" w:eastAsia="仿宋_GB2312" w:hAnsi="Arial" w:cs="Arial" w:hint="eastAsia"/>
          <w:sz w:val="28"/>
          <w:szCs w:val="28"/>
        </w:rPr>
      </w:pPr>
      <w:r w:rsidRPr="00430A31">
        <w:rPr>
          <w:rFonts w:ascii="仿宋_GB2312" w:eastAsia="仿宋_GB2312" w:hAnsi="Arial" w:cs="Arial" w:hint="eastAsia"/>
          <w:sz w:val="28"/>
          <w:szCs w:val="28"/>
        </w:rPr>
        <w:t xml:space="preserve">　　2013年12月20日</w:t>
      </w:r>
    </w:p>
    <w:p w:rsidR="00430A31" w:rsidRPr="004F76E5"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lastRenderedPageBreak/>
        <w:t>附件</w:t>
      </w:r>
      <w:r w:rsidR="004F76E5">
        <w:rPr>
          <w:rFonts w:ascii="仿宋_GB2312" w:eastAsia="仿宋_GB2312" w:hAnsi="Arial" w:cs="Arial" w:hint="eastAsia"/>
          <w:sz w:val="28"/>
          <w:szCs w:val="28"/>
        </w:rPr>
        <w:t>:</w:t>
      </w:r>
    </w:p>
    <w:p w:rsidR="00430A31" w:rsidRPr="004F76E5"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723"/>
        <w:jc w:val="center"/>
        <w:rPr>
          <w:rFonts w:ascii="黑体" w:eastAsia="黑体" w:hAnsi="Arial" w:cs="Arial" w:hint="eastAsia"/>
          <w:b/>
          <w:sz w:val="36"/>
          <w:szCs w:val="36"/>
        </w:rPr>
      </w:pPr>
      <w:r w:rsidRPr="004F76E5">
        <w:rPr>
          <w:rFonts w:ascii="黑体" w:eastAsia="黑体" w:hAnsi="Arial" w:cs="Arial" w:hint="eastAsia"/>
          <w:b/>
          <w:sz w:val="36"/>
          <w:szCs w:val="36"/>
        </w:rPr>
        <w:t>因公临时出国经费管理办法</w:t>
      </w:r>
    </w:p>
    <w:p w:rsidR="00430A31" w:rsidRPr="004F76E5"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p>
    <w:p w:rsidR="004F76E5"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2"/>
        <w:jc w:val="center"/>
        <w:rPr>
          <w:rFonts w:ascii="仿宋_GB2312" w:eastAsia="仿宋_GB2312" w:hAnsi="Arial" w:cs="Arial" w:hint="eastAsia"/>
          <w:sz w:val="28"/>
          <w:szCs w:val="28"/>
        </w:rPr>
      </w:pPr>
      <w:r w:rsidRPr="004F76E5">
        <w:rPr>
          <w:rFonts w:ascii="仿宋_GB2312" w:eastAsia="仿宋_GB2312" w:hAnsi="Arial" w:cs="Arial" w:hint="eastAsia"/>
          <w:b/>
          <w:sz w:val="28"/>
          <w:szCs w:val="28"/>
        </w:rPr>
        <w:t>第一章 总则</w:t>
      </w:r>
    </w:p>
    <w:p w:rsidR="004F76E5"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 xml:space="preserve">第一条 </w:t>
      </w:r>
      <w:r w:rsidR="004F76E5">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为了进一步规范因公临时出国经费管理，加强预算监督，提高资金使用效益，保证外事工作的顺利开展，根据《中华人民共和国预算法》、《党政机关厉行节约反对浪费条例》等法律法规，制定本办法。</w:t>
      </w:r>
    </w:p>
    <w:p w:rsidR="004F76E5"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 xml:space="preserve">第二条 </w:t>
      </w:r>
      <w:r w:rsidR="004F76E5">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本办法适用于各级党政军机关、人大政协机关、审判机关、检察机关、民主党派、人民团体和事业单位因公组</w:t>
      </w:r>
      <w:proofErr w:type="gramStart"/>
      <w:r w:rsidRPr="004F76E5">
        <w:rPr>
          <w:rFonts w:ascii="仿宋_GB2312" w:eastAsia="仿宋_GB2312" w:hAnsi="Arial" w:cs="Arial" w:hint="eastAsia"/>
          <w:sz w:val="28"/>
          <w:szCs w:val="28"/>
        </w:rPr>
        <w:t>派临时</w:t>
      </w:r>
      <w:proofErr w:type="gramEnd"/>
      <w:r w:rsidRPr="004F76E5">
        <w:rPr>
          <w:rFonts w:ascii="仿宋_GB2312" w:eastAsia="仿宋_GB2312" w:hAnsi="Arial" w:cs="Arial" w:hint="eastAsia"/>
          <w:sz w:val="28"/>
          <w:szCs w:val="28"/>
        </w:rPr>
        <w:t>代表团组的省部级以下（含省部级）出国人员（以下简称出国人员）。</w:t>
      </w:r>
    </w:p>
    <w:p w:rsidR="00430A31" w:rsidRPr="004F76E5"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 xml:space="preserve">第三条 </w:t>
      </w:r>
      <w:r w:rsidR="004F76E5">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各地区各部门各单位因公组</w:t>
      </w:r>
      <w:proofErr w:type="gramStart"/>
      <w:r w:rsidRPr="004F76E5">
        <w:rPr>
          <w:rFonts w:ascii="仿宋_GB2312" w:eastAsia="仿宋_GB2312" w:hAnsi="Arial" w:cs="Arial" w:hint="eastAsia"/>
          <w:sz w:val="28"/>
          <w:szCs w:val="28"/>
        </w:rPr>
        <w:t>派临时</w:t>
      </w:r>
      <w:proofErr w:type="gramEnd"/>
      <w:r w:rsidRPr="004F76E5">
        <w:rPr>
          <w:rFonts w:ascii="仿宋_GB2312" w:eastAsia="仿宋_GB2312" w:hAnsi="Arial" w:cs="Arial" w:hint="eastAsia"/>
          <w:sz w:val="28"/>
          <w:szCs w:val="28"/>
        </w:rPr>
        <w:t>出国团组应当坚持强化预算约束、优化经费结构、厉行勤俭节约、讲求务实高效的原则，严格控制因公临时出国规模，规范因公临时出国经费管理。</w:t>
      </w:r>
    </w:p>
    <w:p w:rsidR="00430A31" w:rsidRPr="004F76E5"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p>
    <w:p w:rsidR="004F76E5"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2"/>
        <w:jc w:val="center"/>
        <w:rPr>
          <w:rFonts w:ascii="仿宋_GB2312" w:eastAsia="仿宋_GB2312" w:hAnsi="Arial" w:cs="Arial" w:hint="eastAsia"/>
          <w:sz w:val="28"/>
          <w:szCs w:val="28"/>
        </w:rPr>
      </w:pPr>
      <w:r w:rsidRPr="004F76E5">
        <w:rPr>
          <w:rFonts w:ascii="仿宋_GB2312" w:eastAsia="仿宋_GB2312" w:hAnsi="Arial" w:cs="Arial" w:hint="eastAsia"/>
          <w:b/>
          <w:sz w:val="28"/>
          <w:szCs w:val="28"/>
        </w:rPr>
        <w:t>第二章 预算管理和计划管理</w:t>
      </w:r>
    </w:p>
    <w:p w:rsidR="004F76E5"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 xml:space="preserve">第四条 </w:t>
      </w:r>
      <w:r w:rsidR="004F76E5">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因公临时出国经费应当全部纳入预算管理，并按照下列规定执行：</w:t>
      </w:r>
    </w:p>
    <w:p w:rsidR="004F76E5"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（一）各级财政部门应当加强因公临时出国经费的预算管理，严格控制因公临时出国经费总额，科学合理地安排因公临时出国经费预算。</w:t>
      </w:r>
    </w:p>
    <w:p w:rsidR="004F76E5"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二）各地区各部门各单位应当加强预算硬约束,认真贯彻落实厉行节约的要求，在核定的年度因公临时出国经费预算内，务实高效、精简节约地安排因公临时出国活动，不得超预算或无预算安排出访团组。确有特殊需要的，按规定程序报批。</w:t>
      </w:r>
    </w:p>
    <w:p w:rsidR="004F76E5"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lastRenderedPageBreak/>
        <w:t xml:space="preserve">第五条 </w:t>
      </w:r>
      <w:r w:rsidR="004F76E5">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出访团组实行计划审批管理，并按照下列规定执行：</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一）各地区各部门各单位应当认真贯彻中央有关外事管理规定，科学制订年度因公临时出国计划，认真履行因公临时出国计划报批制度，严格控制因公临时出国团组人数、国家数和在外停留天数，正确执行限量管理规定。组团单位和派出单位要明确责任，谁派出、谁负责。</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（二）因公临时出国应当坚持因事定人的原则，不得因人找事，不得安排照顾性和无实质内容的一般性出访，不得安排考察性出访。</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（三）各级外事部门应当加强因公临时出国计划的审核审批管理，严格把关，对违反规定、不适合成行的团组予以调整或者取消。驻外使馆</w:t>
      </w:r>
      <w:proofErr w:type="gramStart"/>
      <w:r w:rsidRPr="004F76E5">
        <w:rPr>
          <w:rFonts w:ascii="仿宋_GB2312" w:eastAsia="仿宋_GB2312" w:hAnsi="Arial" w:cs="Arial" w:hint="eastAsia"/>
          <w:sz w:val="28"/>
          <w:szCs w:val="28"/>
        </w:rPr>
        <w:t>答复国内因公临时</w:t>
      </w:r>
      <w:proofErr w:type="gramEnd"/>
      <w:r w:rsidRPr="004F76E5">
        <w:rPr>
          <w:rFonts w:ascii="仿宋_GB2312" w:eastAsia="仿宋_GB2312" w:hAnsi="Arial" w:cs="Arial" w:hint="eastAsia"/>
          <w:sz w:val="28"/>
          <w:szCs w:val="28"/>
        </w:rPr>
        <w:t>出国征求意见时，应当严格履行把关职责。</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 xml:space="preserve">第六条 </w:t>
      </w:r>
      <w:r w:rsidR="008309A7">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各地区各部门各单位出国经费的支付，应当严格按照国库集中支付制度和公务卡管理制度的有关规定执行。</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各地区各部门各单位应当严格执行各项经费开支标准，不得擅自突破，严禁接受或变相接受企事业单位资助，严禁向同级机关、下级机关、下属单位、企业、驻外机构等摊派或转嫁出访费用。</w:t>
      </w:r>
    </w:p>
    <w:p w:rsidR="00430A31" w:rsidRPr="004F76E5"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第七条</w:t>
      </w:r>
      <w:r w:rsidR="008309A7">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 xml:space="preserve"> 各地区各部门各单位应当建立因公临时出国计划与财务管理的内部控制制度。出访团组应当事先填报《因公临时出国任务和预算审批意见表》（见附1），由单位外事和财务部门分别出具审签意见，明确审核责任。出国任务、出国经费预算未通过审核的，不得安排出访团组。</w:t>
      </w:r>
    </w:p>
    <w:p w:rsidR="008309A7" w:rsidRDefault="00430A31" w:rsidP="008309A7">
      <w:pPr>
        <w:pStyle w:val="a3"/>
        <w:widowControl w:val="0"/>
        <w:kinsoku w:val="0"/>
        <w:overflowPunct w:val="0"/>
        <w:autoSpaceDE w:val="0"/>
        <w:autoSpaceDN w:val="0"/>
        <w:adjustRightInd w:val="0"/>
        <w:snapToGrid w:val="0"/>
        <w:spacing w:before="0" w:beforeAutospacing="0" w:after="0" w:afterAutospacing="0" w:line="360" w:lineRule="auto"/>
        <w:ind w:firstLineChars="200" w:firstLine="562"/>
        <w:jc w:val="center"/>
        <w:rPr>
          <w:rFonts w:ascii="仿宋_GB2312" w:eastAsia="仿宋_GB2312" w:hAnsi="Arial" w:cs="Arial" w:hint="eastAsia"/>
          <w:sz w:val="28"/>
          <w:szCs w:val="28"/>
        </w:rPr>
      </w:pPr>
      <w:r w:rsidRPr="008309A7">
        <w:rPr>
          <w:rFonts w:ascii="仿宋_GB2312" w:eastAsia="仿宋_GB2312" w:hAnsi="Arial" w:cs="Arial" w:hint="eastAsia"/>
          <w:b/>
          <w:sz w:val="28"/>
          <w:szCs w:val="28"/>
        </w:rPr>
        <w:t>第三章 经费管理</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第八条</w:t>
      </w:r>
      <w:r w:rsidR="008309A7">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 xml:space="preserve"> 因公临时出国经费包括：国际旅费、国外城市间交通费、住宿费、伙食费、公杂费和其他费用。</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国际旅费，是指出境口岸至入境口岸旅费。</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lastRenderedPageBreak/>
        <w:t>国外城市间交通费，是指为完成工作任务所必须发生的，在出访国家的城市与城市之间的交通费用。</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住宿费是指出国人员在国外发生的住宿费用。</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伙食费是指出国人员在国外期间的日常伙食费用。</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公杂费是指出国人员在国外期间的市内交通、邮电、办公用品、必要的小费等费用。</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其他费用主要是</w:t>
      </w:r>
      <w:proofErr w:type="gramStart"/>
      <w:r w:rsidRPr="004F76E5">
        <w:rPr>
          <w:rFonts w:ascii="仿宋_GB2312" w:eastAsia="仿宋_GB2312" w:hAnsi="Arial" w:cs="Arial" w:hint="eastAsia"/>
          <w:sz w:val="28"/>
          <w:szCs w:val="28"/>
        </w:rPr>
        <w:t>指出国</w:t>
      </w:r>
      <w:proofErr w:type="gramEnd"/>
      <w:r w:rsidRPr="004F76E5">
        <w:rPr>
          <w:rFonts w:ascii="仿宋_GB2312" w:eastAsia="仿宋_GB2312" w:hAnsi="Arial" w:cs="Arial" w:hint="eastAsia"/>
          <w:sz w:val="28"/>
          <w:szCs w:val="28"/>
        </w:rPr>
        <w:t>签证费用、必需的保险费用、防疫费用、国际会议注册费用等。</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第九条</w:t>
      </w:r>
      <w:r w:rsidR="008309A7">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 xml:space="preserve"> 国际旅费按照下列规定执行：</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一）选择经济合理的路线。出国人员应当优先选择由我国航空公司运营的国际航线，由于航班衔接等原因确需选择外国航空公司航线的，应当事先报经单位外事和财务部门审批同意。不得以任何理由绕道旅行，或以过境名义变相增加出访国家和时间。</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（二）按照经济适用的原则，通过政府采购等方式，选择优惠票价，并尽可能购买往返机票。</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三）因公临时出国购买机票，须经本单位外事和财务部门审批同意。机票款由本单位通过公务卡、银行转账方式支付，不得以现金支付。单位财务部门应当根据《航空运输电子客票行程单》等有效票据注明的金额予以报销。</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（四）出国人员应当严格按照规定安排交通工具，不得乘坐民航包机或私人、企业和外国航空公司包机。</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五）省部级人员可以乘坐飞机头等舱、轮船一等舱、火车高级软卧或全列软席列车的商务座；司局级人员可以乘坐飞机公务舱、轮船二等舱、火车软卧或全列软席列车的一等座；其他人员均乘坐飞机经济舱、轮船三等舱、火车硬卧或全列软席列车的二等座。所乘交通</w:t>
      </w:r>
      <w:r w:rsidRPr="004F76E5">
        <w:rPr>
          <w:rFonts w:ascii="仿宋_GB2312" w:eastAsia="仿宋_GB2312" w:hAnsi="Arial" w:cs="Arial" w:hint="eastAsia"/>
          <w:sz w:val="28"/>
          <w:szCs w:val="28"/>
        </w:rPr>
        <w:lastRenderedPageBreak/>
        <w:t>工具舱位等级划分与以上不一致的，可乘坐同等水平的舱位。所乘交通工具未设置上述规定中本级别人员可乘坐舱位等级的，应乘坐低</w:t>
      </w:r>
      <w:proofErr w:type="gramStart"/>
      <w:r w:rsidRPr="004F76E5">
        <w:rPr>
          <w:rFonts w:ascii="仿宋_GB2312" w:eastAsia="仿宋_GB2312" w:hAnsi="Arial" w:cs="Arial" w:hint="eastAsia"/>
          <w:sz w:val="28"/>
          <w:szCs w:val="28"/>
        </w:rPr>
        <w:t>一</w:t>
      </w:r>
      <w:proofErr w:type="gramEnd"/>
      <w:r w:rsidRPr="004F76E5">
        <w:rPr>
          <w:rFonts w:ascii="仿宋_GB2312" w:eastAsia="仿宋_GB2312" w:hAnsi="Arial" w:cs="Arial" w:hint="eastAsia"/>
          <w:sz w:val="28"/>
          <w:szCs w:val="28"/>
        </w:rPr>
        <w:t>等级舱位。上述人员发生的国际旅费据实报销。</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（六）出国人员乘坐国际列车，国内段按国内差旅费的有关规定执行；国外</w:t>
      </w:r>
      <w:proofErr w:type="gramStart"/>
      <w:r w:rsidRPr="004F76E5">
        <w:rPr>
          <w:rFonts w:ascii="仿宋_GB2312" w:eastAsia="仿宋_GB2312" w:hAnsi="Arial" w:cs="Arial" w:hint="eastAsia"/>
          <w:sz w:val="28"/>
          <w:szCs w:val="28"/>
        </w:rPr>
        <w:t>段超过</w:t>
      </w:r>
      <w:proofErr w:type="gramEnd"/>
      <w:r w:rsidRPr="004F76E5">
        <w:rPr>
          <w:rFonts w:ascii="仿宋_GB2312" w:eastAsia="仿宋_GB2312" w:hAnsi="Arial" w:cs="Arial" w:hint="eastAsia"/>
          <w:sz w:val="28"/>
          <w:szCs w:val="28"/>
        </w:rPr>
        <w:t>6小时以上的按自然（日历）天数计算，每人每天补助12美元。</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第十条</w:t>
      </w:r>
      <w:r w:rsidR="008309A7">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 xml:space="preserve"> 出国人员根据出访任务需要在一个国家城市间往来，应当事先在出国计划中列明，并报本单位外事和财务部门批准。未列入出国计划、未经本单位外事和财务部门批准的，不得在国外城市间往来。出国人员的旅程必须按照批准的计划执行，其城市间交通费凭有效原始票据据实报销。</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第十一条 住宿费按照下列规定执行：</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（一）出国人员应当严格按照规定安排住宿，省部级人员可安排普通套房，住宿费据实报销；厅局级及以下人员安排标准间，在规定的住宿费标准之内予以报销。</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二）参加国际会议等的出国人员，原则上应当按照住宿费标准执行。如对方组织单位指定或推荐酒店，应当严格把关，通过询价方式从紧安排，超出费用标准的，须事先报经本单位外事和财务部门批准。经批准，住宿费可据实报销。</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 xml:space="preserve">第十二条 </w:t>
      </w:r>
      <w:r w:rsidR="008309A7">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伙食费和公杂费按照下列规定执行：</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（一）出国人员伙食费、公杂费可以按规定的标准发给个人包干使用。包干天数按离、</w:t>
      </w:r>
      <w:proofErr w:type="gramStart"/>
      <w:r w:rsidRPr="004F76E5">
        <w:rPr>
          <w:rFonts w:ascii="仿宋_GB2312" w:eastAsia="仿宋_GB2312" w:hAnsi="Arial" w:cs="Arial" w:hint="eastAsia"/>
          <w:sz w:val="28"/>
          <w:szCs w:val="28"/>
        </w:rPr>
        <w:t>抵我国</w:t>
      </w:r>
      <w:proofErr w:type="gramEnd"/>
      <w:r w:rsidRPr="004F76E5">
        <w:rPr>
          <w:rFonts w:ascii="仿宋_GB2312" w:eastAsia="仿宋_GB2312" w:hAnsi="Arial" w:cs="Arial" w:hint="eastAsia"/>
          <w:sz w:val="28"/>
          <w:szCs w:val="28"/>
        </w:rPr>
        <w:t>国境之日计算。</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（二）根据工作需要和特点，不宜个人包干的出访团组，其伙食费和公杂费由出访团组统一掌握，包干使用。</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（三）外方以现金或实物形式提供伙食费和公杂费接待我代表团</w:t>
      </w:r>
      <w:r w:rsidRPr="004F76E5">
        <w:rPr>
          <w:rFonts w:ascii="仿宋_GB2312" w:eastAsia="仿宋_GB2312" w:hAnsi="Arial" w:cs="Arial" w:hint="eastAsia"/>
          <w:sz w:val="28"/>
          <w:szCs w:val="28"/>
        </w:rPr>
        <w:lastRenderedPageBreak/>
        <w:t>组的，出国人员不再领取伙食费和公杂费。</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（四）出访用餐应当勤俭节约，不上高档菜肴和酒水，自助餐也要注意节俭。</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 xml:space="preserve">第十三条 </w:t>
      </w:r>
      <w:r w:rsidR="008309A7">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出访团组对外原则上不搞宴请，确需宴请的，应当连同出国计划一并报批，宴请标准按照所在国家一人一天的伙食费标准掌握。</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出访团组与我国驻外使领馆等外交机构和其他中资机构、企业之间一律</w:t>
      </w:r>
      <w:proofErr w:type="gramStart"/>
      <w:r w:rsidRPr="004F76E5">
        <w:rPr>
          <w:rFonts w:ascii="仿宋_GB2312" w:eastAsia="仿宋_GB2312" w:hAnsi="Arial" w:cs="Arial" w:hint="eastAsia"/>
          <w:sz w:val="28"/>
          <w:szCs w:val="28"/>
        </w:rPr>
        <w:t>不</w:t>
      </w:r>
      <w:proofErr w:type="gramEnd"/>
      <w:r w:rsidRPr="004F76E5">
        <w:rPr>
          <w:rFonts w:ascii="仿宋_GB2312" w:eastAsia="仿宋_GB2312" w:hAnsi="Arial" w:cs="Arial" w:hint="eastAsia"/>
          <w:sz w:val="28"/>
          <w:szCs w:val="28"/>
        </w:rPr>
        <w:t>得用公款相互宴请。</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 xml:space="preserve">第十四条 </w:t>
      </w:r>
      <w:r w:rsidR="008309A7">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出访团组在国外期间，收授礼品应当严格按有关规定执行。原则上不对外赠送礼品，确有必要赠送的，应当事先报经本单位外事和财务部门审批同意，按照厉行节俭的原则，选择具有民族特色的纪念品、传统手工艺品和实用物品，朴素大方，不求奢华。</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出访团组与我国驻外使领馆等外交机构和其他中资机构、企业之间一律不得以任何名义、任何方式互赠礼品或纪念品。</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第十五条</w:t>
      </w:r>
      <w:r w:rsidR="008309A7">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 xml:space="preserve"> 出国签证费用、防疫费用、国际会议注册</w:t>
      </w:r>
      <w:proofErr w:type="gramStart"/>
      <w:r w:rsidRPr="004F76E5">
        <w:rPr>
          <w:rFonts w:ascii="仿宋_GB2312" w:eastAsia="仿宋_GB2312" w:hAnsi="Arial" w:cs="Arial" w:hint="eastAsia"/>
          <w:sz w:val="28"/>
          <w:szCs w:val="28"/>
        </w:rPr>
        <w:t>费用等凭有效</w:t>
      </w:r>
      <w:proofErr w:type="gramEnd"/>
      <w:r w:rsidRPr="004F76E5">
        <w:rPr>
          <w:rFonts w:ascii="仿宋_GB2312" w:eastAsia="仿宋_GB2312" w:hAnsi="Arial" w:cs="Arial" w:hint="eastAsia"/>
          <w:sz w:val="28"/>
          <w:szCs w:val="28"/>
        </w:rPr>
        <w:t>原始票据据实报销。根据到访国要求，出国人员必须购买保险的，应当事先报经本单位外事和财务部门批准后，按照到访国驻华使领馆要求购买，凭有效原始票据据实报销。</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 xml:space="preserve">第十六条 </w:t>
      </w:r>
      <w:r w:rsidR="008309A7">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出国人员回国报销费用时，须凭有效票据填报有团组负责人审核签字的国外费用报销单（具体表格由各单位制定）。各种报销凭证须用中文注明开支内容、日期、数量、金额等，并由经办人签字。</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各单位财务部门应当根据本办法制定本单位财务报销审批的具体规定，加强对因公临时出国团组的经费核销管理。各单位财务部门应当对因公临时出国团组提交的出国任务批件、护照（包括签证和出</w:t>
      </w:r>
      <w:r w:rsidRPr="004F76E5">
        <w:rPr>
          <w:rFonts w:ascii="仿宋_GB2312" w:eastAsia="仿宋_GB2312" w:hAnsi="Arial" w:cs="Arial" w:hint="eastAsia"/>
          <w:sz w:val="28"/>
          <w:szCs w:val="28"/>
        </w:rPr>
        <w:lastRenderedPageBreak/>
        <w:t>入境记录）复印件及有效费用明细票据进行认真审核，严格按照批准的出国团组人员、天数、路线、经费预算及开支标准核销经费，不得核销与出访任务无关的开支。</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 xml:space="preserve">第十七条 </w:t>
      </w:r>
      <w:r w:rsidR="008309A7">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中央各部门根据出国经费预算，结合实际购汇需求，自主核定本部门及其所属单位购汇数额，通过财政部批准的人民币资金账户，向外汇指定银行购买外汇。</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省级财政部门根据本级各部门和下级财政部门的申请，自主核定本地区购汇数额，并确定一家外汇指定银行具体办理购汇手续。</w:t>
      </w:r>
    </w:p>
    <w:p w:rsidR="00430A31" w:rsidRPr="008309A7" w:rsidRDefault="00430A31" w:rsidP="008309A7">
      <w:pPr>
        <w:pStyle w:val="a3"/>
        <w:widowControl w:val="0"/>
        <w:kinsoku w:val="0"/>
        <w:overflowPunct w:val="0"/>
        <w:autoSpaceDE w:val="0"/>
        <w:autoSpaceDN w:val="0"/>
        <w:adjustRightInd w:val="0"/>
        <w:snapToGrid w:val="0"/>
        <w:spacing w:before="0" w:beforeAutospacing="0" w:after="0" w:afterAutospacing="0" w:line="360" w:lineRule="auto"/>
        <w:ind w:firstLineChars="200" w:firstLine="562"/>
        <w:jc w:val="center"/>
        <w:rPr>
          <w:rFonts w:ascii="仿宋_GB2312" w:eastAsia="仿宋_GB2312" w:hAnsi="Arial" w:cs="Arial" w:hint="eastAsia"/>
          <w:b/>
          <w:sz w:val="28"/>
          <w:szCs w:val="28"/>
        </w:rPr>
      </w:pPr>
      <w:r w:rsidRPr="008309A7">
        <w:rPr>
          <w:rFonts w:ascii="仿宋_GB2312" w:eastAsia="仿宋_GB2312" w:hAnsi="Arial" w:cs="Arial" w:hint="eastAsia"/>
          <w:b/>
          <w:sz w:val="28"/>
          <w:szCs w:val="28"/>
        </w:rPr>
        <w:t>第四章 监督检查</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第十八条</w:t>
      </w:r>
      <w:r w:rsidR="008309A7">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 xml:space="preserve"> 除涉密内容和事项外，因公临时出国经费的预决算应当按照预决算信息公开的有关规定，及时公开，主动接受社会监督。</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 xml:space="preserve">第十九条 </w:t>
      </w:r>
      <w:r w:rsidR="008309A7">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各级外事、财政、审计等部门对因公临时出国情况进行定期或不定期联合检查。各级财政部门应当定期或不定期对各部门各单位因公临时出国经费管理使用情况进行监督检查。审计部门应当对各部门各单位因公临时出国经费管理使用情况进行审计。</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财务部门应当建立健全因公临时出国团组内部监督检查机制，每半年向同级外事、财政部门报送本部门本单位因公临时出国经费使用情况。严格按照预算绩效管理的有关规定，加强因公临时出国经费预算绩效评价，切实提高预算资金的使用效益。</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 xml:space="preserve">第二十条 </w:t>
      </w:r>
      <w:r w:rsidR="008309A7">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组团单位应当采取集中形式，对团组全体人员进行行前财经纪律教育。对出国人员违反本办法规定，有下列行为之一的，</w:t>
      </w:r>
      <w:proofErr w:type="gramStart"/>
      <w:r w:rsidRPr="004F76E5">
        <w:rPr>
          <w:rFonts w:ascii="仿宋_GB2312" w:eastAsia="仿宋_GB2312" w:hAnsi="Arial" w:cs="Arial" w:hint="eastAsia"/>
          <w:sz w:val="28"/>
          <w:szCs w:val="28"/>
        </w:rPr>
        <w:t>除相关</w:t>
      </w:r>
      <w:proofErr w:type="gramEnd"/>
      <w:r w:rsidRPr="004F76E5">
        <w:rPr>
          <w:rFonts w:ascii="仿宋_GB2312" w:eastAsia="仿宋_GB2312" w:hAnsi="Arial" w:cs="Arial" w:hint="eastAsia"/>
          <w:sz w:val="28"/>
          <w:szCs w:val="28"/>
        </w:rPr>
        <w:t>开支一律不予报销外，按照《财政违法行为处罚处分条例》等有关规定严肃处理，并追究有关人员责任：</w:t>
      </w:r>
    </w:p>
    <w:p w:rsidR="00430A31" w:rsidRPr="004F76E5"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（一）违规扩大出国经费开支范围的；</w:t>
      </w:r>
    </w:p>
    <w:p w:rsidR="00430A31" w:rsidRPr="004F76E5"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p>
    <w:p w:rsidR="004F76E5" w:rsidRPr="004F76E5" w:rsidRDefault="008309A7"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Pr>
          <w:rFonts w:ascii="仿宋_GB2312" w:eastAsia="仿宋_GB2312" w:hAnsi="Arial" w:cs="Arial" w:hint="eastAsia"/>
          <w:sz w:val="28"/>
          <w:szCs w:val="28"/>
        </w:rPr>
        <w:lastRenderedPageBreak/>
        <w:t>（二）擅自提高经费开支标准的;</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（三）虚报团组级别、人数、国家数、天数等，套取出国经费的；</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（四）使用虚假发票报销出国费用的；</w:t>
      </w:r>
    </w:p>
    <w:p w:rsidR="00430A31" w:rsidRPr="004F76E5"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（五）其他违反本办法的行为。</w:t>
      </w:r>
    </w:p>
    <w:p w:rsidR="008309A7" w:rsidRDefault="00430A31" w:rsidP="008309A7">
      <w:pPr>
        <w:pStyle w:val="a3"/>
        <w:widowControl w:val="0"/>
        <w:kinsoku w:val="0"/>
        <w:overflowPunct w:val="0"/>
        <w:autoSpaceDE w:val="0"/>
        <w:autoSpaceDN w:val="0"/>
        <w:adjustRightInd w:val="0"/>
        <w:snapToGrid w:val="0"/>
        <w:spacing w:before="0" w:beforeAutospacing="0" w:after="0" w:afterAutospacing="0" w:line="360" w:lineRule="auto"/>
        <w:ind w:firstLineChars="200" w:firstLine="562"/>
        <w:jc w:val="center"/>
        <w:rPr>
          <w:rFonts w:ascii="仿宋_GB2312" w:eastAsia="仿宋_GB2312" w:hAnsi="Arial" w:cs="Arial" w:hint="eastAsia"/>
          <w:b/>
          <w:sz w:val="28"/>
          <w:szCs w:val="28"/>
        </w:rPr>
      </w:pPr>
      <w:r w:rsidRPr="008309A7">
        <w:rPr>
          <w:rFonts w:ascii="仿宋_GB2312" w:eastAsia="仿宋_GB2312" w:hAnsi="Arial" w:cs="Arial" w:hint="eastAsia"/>
          <w:b/>
          <w:sz w:val="28"/>
          <w:szCs w:val="28"/>
        </w:rPr>
        <w:t>第五章 附  则</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 xml:space="preserve">第二十一条 </w:t>
      </w:r>
      <w:r w:rsidR="008309A7">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各地区各部门各单位因公临时赴香港、澳门、台湾地区的，适用本办法。</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 xml:space="preserve">第二十二条 </w:t>
      </w:r>
      <w:r w:rsidR="008309A7">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各地区各部门各单位可以根据本办法，结合实际制定具体规定，报财政部备案。边境地区有频繁出国任务的，其因公临时出国经费开支标准和管理办法由所在省、自治区财政厅根据实际情况制定，并报财政部备案。</w:t>
      </w:r>
    </w:p>
    <w:p w:rsidR="00430A31" w:rsidRPr="004F76E5"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 xml:space="preserve">第二十三条 </w:t>
      </w:r>
      <w:r w:rsidR="008309A7">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对与我新建交或未建交国家，相关经费开支标准</w:t>
      </w:r>
      <w:proofErr w:type="gramStart"/>
      <w:r w:rsidRPr="004F76E5">
        <w:rPr>
          <w:rFonts w:ascii="仿宋_GB2312" w:eastAsia="仿宋_GB2312" w:hAnsi="Arial" w:cs="Arial" w:hint="eastAsia"/>
          <w:sz w:val="28"/>
          <w:szCs w:val="28"/>
        </w:rPr>
        <w:t>暂按照</w:t>
      </w:r>
      <w:proofErr w:type="gramEnd"/>
      <w:r w:rsidRPr="004F76E5">
        <w:rPr>
          <w:rFonts w:ascii="仿宋_GB2312" w:eastAsia="仿宋_GB2312" w:hAnsi="Arial" w:cs="Arial" w:hint="eastAsia"/>
          <w:sz w:val="28"/>
          <w:szCs w:val="28"/>
        </w:rPr>
        <w:t>经济水平相近的邻国标准执行。</w:t>
      </w:r>
    </w:p>
    <w:p w:rsidR="00F47921" w:rsidRPr="004F76E5"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 xml:space="preserve">第二十四条 </w:t>
      </w:r>
      <w:r w:rsidR="00F47921" w:rsidRPr="004F76E5">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财政部、外交部根据出访国家或地区经济发展、物价等变动情况，对相关经费开支标准适时调整。</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 xml:space="preserve">第二十五条 </w:t>
      </w:r>
      <w:r w:rsidR="00F47921" w:rsidRPr="004F76E5">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国有企业和其他因公临时出国人员参照本办法执行</w:t>
      </w:r>
      <w:r w:rsidR="00F47921" w:rsidRPr="004F76E5">
        <w:rPr>
          <w:rFonts w:ascii="仿宋_GB2312" w:eastAsia="仿宋_GB2312" w:hAnsi="Arial" w:cs="Arial" w:hint="eastAsia"/>
          <w:sz w:val="28"/>
          <w:szCs w:val="28"/>
        </w:rPr>
        <w:t>。</w:t>
      </w:r>
    </w:p>
    <w:p w:rsidR="008309A7"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 xml:space="preserve">第二十六条 </w:t>
      </w:r>
      <w:r w:rsidR="00F47921" w:rsidRPr="004F76E5">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本办法由财政部、外交部负责解释。</w:t>
      </w:r>
    </w:p>
    <w:p w:rsidR="00430A31" w:rsidRDefault="00430A31"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sidRPr="004F76E5">
        <w:rPr>
          <w:rFonts w:ascii="仿宋_GB2312" w:eastAsia="仿宋_GB2312" w:hAnsi="Arial" w:cs="Arial" w:hint="eastAsia"/>
          <w:sz w:val="28"/>
          <w:szCs w:val="28"/>
        </w:rPr>
        <w:t xml:space="preserve">第二十七条 </w:t>
      </w:r>
      <w:r w:rsidR="00F47921" w:rsidRPr="004F76E5">
        <w:rPr>
          <w:rFonts w:ascii="仿宋_GB2312" w:eastAsia="仿宋_GB2312" w:hAnsi="Arial" w:cs="Arial" w:hint="eastAsia"/>
          <w:sz w:val="28"/>
          <w:szCs w:val="28"/>
        </w:rPr>
        <w:t xml:space="preserve"> </w:t>
      </w:r>
      <w:r w:rsidRPr="004F76E5">
        <w:rPr>
          <w:rFonts w:ascii="仿宋_GB2312" w:eastAsia="仿宋_GB2312" w:hAnsi="Arial" w:cs="Arial" w:hint="eastAsia"/>
          <w:sz w:val="28"/>
          <w:szCs w:val="28"/>
        </w:rPr>
        <w:t>本办法自发布之日起30日后施行。财政部、外交部《关于印发&lt;临时出国人员费用开支标准和管理办法&gt;的通知》（</w:t>
      </w:r>
      <w:proofErr w:type="gramStart"/>
      <w:r w:rsidRPr="004F76E5">
        <w:rPr>
          <w:rFonts w:ascii="仿宋_GB2312" w:eastAsia="仿宋_GB2312" w:hAnsi="Arial" w:cs="Arial" w:hint="eastAsia"/>
          <w:sz w:val="28"/>
          <w:szCs w:val="28"/>
        </w:rPr>
        <w:t>财行〔2001〕</w:t>
      </w:r>
      <w:proofErr w:type="gramEnd"/>
      <w:r w:rsidRPr="004F76E5">
        <w:rPr>
          <w:rFonts w:ascii="仿宋_GB2312" w:eastAsia="仿宋_GB2312" w:hAnsi="Arial" w:cs="Arial" w:hint="eastAsia"/>
          <w:sz w:val="28"/>
          <w:szCs w:val="28"/>
        </w:rPr>
        <w:t>73号）和财政部、中国民用航空总局《关于加强因公出国机票管理的通知》（财外字〔1998〕283号）同时废止。</w:t>
      </w:r>
    </w:p>
    <w:p w:rsidR="009C275F" w:rsidRDefault="003E348D" w:rsidP="004F76E5">
      <w:pPr>
        <w:pStyle w:val="a3"/>
        <w:widowControl w:val="0"/>
        <w:kinsoku w:val="0"/>
        <w:overflowPunct w:val="0"/>
        <w:autoSpaceDE w:val="0"/>
        <w:autoSpaceDN w:val="0"/>
        <w:adjustRightInd w:val="0"/>
        <w:snapToGrid w:val="0"/>
        <w:spacing w:before="0" w:beforeAutospacing="0" w:after="0" w:afterAutospacing="0" w:line="360" w:lineRule="auto"/>
        <w:ind w:firstLineChars="200" w:firstLine="560"/>
        <w:rPr>
          <w:rFonts w:ascii="仿宋_GB2312" w:eastAsia="仿宋_GB2312" w:hAnsi="Arial" w:cs="Arial" w:hint="eastAsia"/>
          <w:sz w:val="28"/>
          <w:szCs w:val="28"/>
        </w:rPr>
      </w:pPr>
      <w:r>
        <w:rPr>
          <w:rFonts w:ascii="仿宋_GB2312" w:eastAsia="仿宋_GB2312" w:hAnsi="Arial" w:cs="Arial" w:hint="eastAsia"/>
          <w:sz w:val="28"/>
          <w:szCs w:val="28"/>
        </w:rPr>
        <w:t>附：</w:t>
      </w:r>
      <w:r w:rsidR="009C275F">
        <w:rPr>
          <w:rFonts w:ascii="仿宋_GB2312" w:eastAsia="仿宋_GB2312" w:hAnsi="Arial" w:cs="Arial" w:hint="eastAsia"/>
          <w:sz w:val="28"/>
          <w:szCs w:val="28"/>
        </w:rPr>
        <w:t>1、</w:t>
      </w:r>
      <w:r w:rsidR="009C275F" w:rsidRPr="009C275F">
        <w:rPr>
          <w:rFonts w:ascii="仿宋_GB2312" w:eastAsia="仿宋_GB2312" w:hAnsi="Arial" w:cs="Arial" w:hint="eastAsia"/>
          <w:sz w:val="28"/>
          <w:szCs w:val="28"/>
        </w:rPr>
        <w:t>因公临时出国任务和预算审批意见表</w:t>
      </w:r>
    </w:p>
    <w:p w:rsidR="003E348D" w:rsidRDefault="009C275F" w:rsidP="009C275F">
      <w:pPr>
        <w:pStyle w:val="a3"/>
        <w:widowControl w:val="0"/>
        <w:kinsoku w:val="0"/>
        <w:overflowPunct w:val="0"/>
        <w:autoSpaceDE w:val="0"/>
        <w:autoSpaceDN w:val="0"/>
        <w:adjustRightInd w:val="0"/>
        <w:snapToGrid w:val="0"/>
        <w:spacing w:before="0" w:beforeAutospacing="0" w:after="0" w:afterAutospacing="0" w:line="360" w:lineRule="auto"/>
        <w:ind w:firstLineChars="400" w:firstLine="1120"/>
        <w:rPr>
          <w:rFonts w:ascii="仿宋_GB2312" w:eastAsia="仿宋_GB2312" w:hAnsi="Arial" w:cs="Arial" w:hint="eastAsia"/>
          <w:sz w:val="28"/>
          <w:szCs w:val="28"/>
        </w:rPr>
      </w:pPr>
      <w:r>
        <w:rPr>
          <w:rFonts w:ascii="仿宋_GB2312" w:eastAsia="仿宋_GB2312" w:hAnsi="Arial" w:cs="Arial" w:hint="eastAsia"/>
          <w:sz w:val="28"/>
          <w:szCs w:val="28"/>
        </w:rPr>
        <w:t>2、各</w:t>
      </w:r>
      <w:r w:rsidR="003E348D">
        <w:rPr>
          <w:rFonts w:ascii="仿宋_GB2312" w:eastAsia="仿宋_GB2312" w:hAnsi="Arial" w:cs="Arial" w:hint="eastAsia"/>
          <w:sz w:val="28"/>
          <w:szCs w:val="28"/>
        </w:rPr>
        <w:t>国家和地区住宿费、伙食费、公杂费开支标准</w:t>
      </w:r>
      <w:r>
        <w:rPr>
          <w:rFonts w:ascii="仿宋_GB2312" w:eastAsia="仿宋_GB2312" w:hAnsi="Arial" w:cs="Arial" w:hint="eastAsia"/>
          <w:sz w:val="28"/>
          <w:szCs w:val="28"/>
        </w:rPr>
        <w:t>表</w:t>
      </w:r>
    </w:p>
    <w:p w:rsidR="00AA4189" w:rsidRDefault="00AA4189" w:rsidP="00AA4189">
      <w:pPr>
        <w:jc w:val="center"/>
        <w:rPr>
          <w:rFonts w:hint="eastAsia"/>
          <w:b/>
          <w:sz w:val="24"/>
          <w:szCs w:val="28"/>
        </w:rPr>
      </w:pPr>
    </w:p>
    <w:p w:rsidR="00AA4189" w:rsidRDefault="00AA4189" w:rsidP="00AA4189">
      <w:pPr>
        <w:jc w:val="center"/>
        <w:rPr>
          <w:b/>
          <w:sz w:val="24"/>
          <w:szCs w:val="28"/>
        </w:rPr>
      </w:pPr>
      <w:r w:rsidRPr="001C64CD">
        <w:rPr>
          <w:rFonts w:hint="eastAsia"/>
          <w:b/>
          <w:sz w:val="24"/>
          <w:szCs w:val="28"/>
        </w:rPr>
        <w:lastRenderedPageBreak/>
        <w:t>各国家和地区住宿费、伙食费、公杂费开支标准表</w:t>
      </w:r>
    </w:p>
    <w:p w:rsidR="00AA4189" w:rsidRPr="001C64CD" w:rsidRDefault="00AA4189" w:rsidP="00AA4189">
      <w:pPr>
        <w:jc w:val="center"/>
        <w:rPr>
          <w:b/>
          <w:sz w:val="24"/>
          <w:szCs w:val="28"/>
        </w:rPr>
      </w:pPr>
    </w:p>
    <w:tbl>
      <w:tblPr>
        <w:tblW w:w="10218" w:type="dxa"/>
        <w:jc w:val="center"/>
        <w:tblLayout w:type="fixed"/>
        <w:tblLook w:val="04A0" w:firstRow="1" w:lastRow="0" w:firstColumn="1" w:lastColumn="0" w:noHBand="0" w:noVBand="1"/>
      </w:tblPr>
      <w:tblGrid>
        <w:gridCol w:w="709"/>
        <w:gridCol w:w="2268"/>
        <w:gridCol w:w="2126"/>
        <w:gridCol w:w="851"/>
        <w:gridCol w:w="1381"/>
        <w:gridCol w:w="1418"/>
        <w:gridCol w:w="1465"/>
      </w:tblGrid>
      <w:tr w:rsidR="00AA4189" w:rsidRPr="00AA4189" w:rsidTr="00AA4189">
        <w:trPr>
          <w:trHeight w:val="416"/>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AA4189" w:rsidRDefault="00AA4189" w:rsidP="004A5444">
            <w:pPr>
              <w:widowControl/>
              <w:jc w:val="center"/>
              <w:rPr>
                <w:rFonts w:ascii="宋体" w:hAnsi="宋体" w:cs="宋体"/>
                <w:b/>
                <w:kern w:val="0"/>
                <w:sz w:val="22"/>
              </w:rPr>
            </w:pPr>
            <w:r w:rsidRPr="00AA4189">
              <w:rPr>
                <w:rFonts w:ascii="宋体" w:hAnsi="宋体" w:cs="宋体" w:hint="eastAsia"/>
                <w:b/>
                <w:kern w:val="0"/>
                <w:sz w:val="22"/>
              </w:rPr>
              <w:t>序号</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A4189" w:rsidRPr="00AA4189" w:rsidRDefault="00AA4189" w:rsidP="004A5444">
            <w:pPr>
              <w:widowControl/>
              <w:jc w:val="center"/>
              <w:rPr>
                <w:rFonts w:ascii="宋体" w:hAnsi="宋体" w:cs="宋体"/>
                <w:b/>
                <w:kern w:val="0"/>
                <w:sz w:val="22"/>
              </w:rPr>
            </w:pPr>
            <w:r w:rsidRPr="00AA4189">
              <w:rPr>
                <w:rFonts w:ascii="宋体" w:hAnsi="宋体" w:cs="宋体" w:hint="eastAsia"/>
                <w:b/>
                <w:kern w:val="0"/>
                <w:sz w:val="22"/>
              </w:rPr>
              <w:t>国家（地区）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AA4189" w:rsidRDefault="00AA4189" w:rsidP="004A5444">
            <w:pPr>
              <w:widowControl/>
              <w:jc w:val="center"/>
              <w:rPr>
                <w:rFonts w:ascii="宋体" w:hAnsi="宋体" w:cs="宋体"/>
                <w:b/>
                <w:kern w:val="0"/>
                <w:sz w:val="22"/>
              </w:rPr>
            </w:pPr>
            <w:r w:rsidRPr="00AA4189">
              <w:rPr>
                <w:rFonts w:ascii="宋体" w:hAnsi="宋体" w:cs="宋体" w:hint="eastAsia"/>
                <w:b/>
                <w:kern w:val="0"/>
                <w:sz w:val="22"/>
              </w:rPr>
              <w:t>城市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AA4189" w:rsidRDefault="00AA4189" w:rsidP="004A5444">
            <w:pPr>
              <w:widowControl/>
              <w:jc w:val="center"/>
              <w:rPr>
                <w:rFonts w:ascii="宋体" w:hAnsi="宋体" w:cs="宋体"/>
                <w:b/>
                <w:kern w:val="0"/>
                <w:sz w:val="22"/>
              </w:rPr>
            </w:pPr>
            <w:r w:rsidRPr="00AA4189">
              <w:rPr>
                <w:rFonts w:ascii="宋体" w:hAnsi="宋体" w:cs="宋体" w:hint="eastAsia"/>
                <w:b/>
                <w:kern w:val="0"/>
                <w:sz w:val="22"/>
              </w:rPr>
              <w:t>币种</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AA4189" w:rsidRPr="00AA4189" w:rsidRDefault="00AA4189" w:rsidP="004A5444">
            <w:pPr>
              <w:widowControl/>
              <w:jc w:val="center"/>
              <w:rPr>
                <w:rFonts w:ascii="宋体" w:hAnsi="宋体" w:cs="宋体"/>
                <w:b/>
                <w:kern w:val="0"/>
                <w:sz w:val="22"/>
              </w:rPr>
            </w:pPr>
            <w:r w:rsidRPr="00AA4189">
              <w:rPr>
                <w:rFonts w:ascii="宋体" w:hAnsi="宋体" w:cs="宋体" w:hint="eastAsia"/>
                <w:b/>
                <w:kern w:val="0"/>
                <w:sz w:val="22"/>
              </w:rPr>
              <w:t>住宿费         (每人每天）</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4189" w:rsidRPr="00AA4189" w:rsidRDefault="00AA4189" w:rsidP="004A5444">
            <w:pPr>
              <w:widowControl/>
              <w:jc w:val="center"/>
              <w:rPr>
                <w:rFonts w:ascii="宋体" w:hAnsi="宋体" w:cs="宋体"/>
                <w:b/>
                <w:kern w:val="0"/>
                <w:sz w:val="22"/>
              </w:rPr>
            </w:pPr>
            <w:r w:rsidRPr="00AA4189">
              <w:rPr>
                <w:rFonts w:ascii="宋体" w:hAnsi="宋体" w:cs="宋体" w:hint="eastAsia"/>
                <w:b/>
                <w:kern w:val="0"/>
                <w:sz w:val="22"/>
              </w:rPr>
              <w:t>伙食费          (每人每天)</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rsidR="00AA4189" w:rsidRPr="00AA4189" w:rsidRDefault="00AA4189" w:rsidP="004A5444">
            <w:pPr>
              <w:widowControl/>
              <w:jc w:val="center"/>
              <w:rPr>
                <w:rFonts w:ascii="宋体" w:hAnsi="宋体" w:cs="宋体"/>
                <w:b/>
                <w:kern w:val="0"/>
                <w:sz w:val="22"/>
              </w:rPr>
            </w:pPr>
            <w:r w:rsidRPr="00AA4189">
              <w:rPr>
                <w:rFonts w:ascii="宋体" w:hAnsi="宋体" w:cs="宋体" w:hint="eastAsia"/>
                <w:b/>
                <w:kern w:val="0"/>
                <w:sz w:val="22"/>
              </w:rPr>
              <w:t>公杂费            (每人每天）</w:t>
            </w:r>
          </w:p>
        </w:tc>
      </w:tr>
      <w:tr w:rsidR="00AA4189" w:rsidRPr="00AA4189" w:rsidTr="00AA4189">
        <w:trPr>
          <w:trHeight w:val="29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AA4189" w:rsidRDefault="00AA4189" w:rsidP="004A5444">
            <w:pPr>
              <w:widowControl/>
              <w:jc w:val="center"/>
              <w:rPr>
                <w:rFonts w:ascii="宋体" w:hAnsi="宋体" w:cs="宋体"/>
                <w:b/>
                <w:kern w:val="0"/>
                <w:sz w:val="22"/>
              </w:rPr>
            </w:pPr>
            <w:proofErr w:type="gramStart"/>
            <w:r w:rsidRPr="00AA4189">
              <w:rPr>
                <w:rFonts w:ascii="宋体" w:hAnsi="宋体" w:cs="宋体" w:hint="eastAsia"/>
                <w:b/>
                <w:kern w:val="0"/>
                <w:sz w:val="22"/>
              </w:rPr>
              <w:t>一</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AA4189" w:rsidRDefault="00AA4189" w:rsidP="004A5444">
            <w:pPr>
              <w:widowControl/>
              <w:jc w:val="center"/>
              <w:rPr>
                <w:rFonts w:ascii="宋体" w:hAnsi="宋体" w:cs="宋体"/>
                <w:b/>
                <w:kern w:val="0"/>
                <w:sz w:val="22"/>
              </w:rPr>
            </w:pPr>
            <w:r w:rsidRPr="00AA4189">
              <w:rPr>
                <w:rFonts w:ascii="宋体" w:hAnsi="宋体" w:cs="宋体" w:hint="eastAsia"/>
                <w:b/>
                <w:kern w:val="0"/>
                <w:sz w:val="22"/>
              </w:rPr>
              <w:t>亚洲</w:t>
            </w:r>
          </w:p>
        </w:tc>
        <w:tc>
          <w:tcPr>
            <w:tcW w:w="2126" w:type="dxa"/>
            <w:tcBorders>
              <w:top w:val="nil"/>
              <w:left w:val="nil"/>
              <w:bottom w:val="single" w:sz="4" w:space="0" w:color="auto"/>
              <w:right w:val="single" w:sz="4" w:space="0" w:color="auto"/>
            </w:tcBorders>
            <w:shd w:val="clear" w:color="auto" w:fill="auto"/>
            <w:vAlign w:val="center"/>
            <w:hideMark/>
          </w:tcPr>
          <w:p w:rsidR="00AA4189" w:rsidRPr="00AA4189"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AA4189" w:rsidRDefault="00AA4189" w:rsidP="004A5444">
            <w:pPr>
              <w:widowControl/>
              <w:jc w:val="center"/>
              <w:rPr>
                <w:rFonts w:ascii="宋体" w:hAnsi="宋体" w:cs="宋体"/>
                <w:kern w:val="0"/>
                <w:sz w:val="22"/>
              </w:rPr>
            </w:pP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AA4189" w:rsidRDefault="00AA4189" w:rsidP="004A5444">
            <w:pPr>
              <w:widowControl/>
              <w:jc w:val="center"/>
              <w:rPr>
                <w:rFonts w:ascii="宋体" w:hAnsi="宋体" w:cs="宋体"/>
                <w:kern w:val="0"/>
                <w:sz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AA4189" w:rsidRDefault="00AA4189" w:rsidP="004A5444">
            <w:pPr>
              <w:widowControl/>
              <w:jc w:val="center"/>
              <w:rPr>
                <w:rFonts w:ascii="宋体" w:hAnsi="宋体" w:cs="宋体"/>
                <w:kern w:val="0"/>
                <w:sz w:val="22"/>
              </w:rPr>
            </w:pP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AA4189" w:rsidRDefault="00AA4189" w:rsidP="004A5444">
            <w:pPr>
              <w:widowControl/>
              <w:jc w:val="center"/>
              <w:rPr>
                <w:rFonts w:ascii="宋体" w:hAnsi="宋体" w:cs="宋体"/>
                <w:kern w:val="0"/>
                <w:sz w:val="22"/>
              </w:rPr>
            </w:pP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蒙古</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90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2</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朝鲜</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90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3</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韩国</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首尔、釜山、济州</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180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70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4</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光州、</w:t>
            </w:r>
            <w:proofErr w:type="gramStart"/>
            <w:r w:rsidRPr="001C64CD">
              <w:rPr>
                <w:rFonts w:ascii="宋体" w:hAnsi="宋体" w:cs="宋体" w:hint="eastAsia"/>
                <w:kern w:val="0"/>
                <w:sz w:val="22"/>
              </w:rPr>
              <w:t>西归浦</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70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5</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其他城巿</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70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6</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日本</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东京</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日元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20000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10000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5000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7</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大阪、京都</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日元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18000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10000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5000</w:t>
            </w:r>
          </w:p>
        </w:tc>
      </w:tr>
      <w:tr w:rsidR="00AA4189" w:rsidRPr="007C5E45" w:rsidTr="004A5444">
        <w:trPr>
          <w:trHeight w:val="57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8</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福冈、札幌、长崎、名古屋</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日元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14000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10000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5000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9</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其他城巿</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日元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9000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10000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5000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10</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缅甸</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90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11</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巴基斯坦</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伊斯兰堡、拉合尔、卡拉奇</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135</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12</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roofErr w:type="gramStart"/>
            <w:r w:rsidRPr="001C64CD">
              <w:rPr>
                <w:rFonts w:ascii="宋体" w:hAnsi="宋体" w:cs="宋体" w:hint="eastAsia"/>
                <w:kern w:val="0"/>
                <w:sz w:val="22"/>
              </w:rPr>
              <w:t>奎</w:t>
            </w:r>
            <w:proofErr w:type="gramEnd"/>
            <w:r w:rsidRPr="001C64CD">
              <w:rPr>
                <w:rFonts w:ascii="宋体" w:hAnsi="宋体" w:cs="宋体" w:hint="eastAsia"/>
                <w:kern w:val="0"/>
                <w:sz w:val="22"/>
              </w:rPr>
              <w:t>达</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70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13</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其他城巿</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14</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斯里兰卡</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110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15</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马尔代夫</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16</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孟加拉</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17</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伊拉克</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170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18</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阿拉伯联合酋长国</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19</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也门</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萨那</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110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20</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亚丁</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90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21</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其他城巿</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80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22</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阿曼</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23</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伊朗</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95</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41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24</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Pr>
                <w:rFonts w:ascii="宋体" w:hAnsi="宋体" w:cs="宋体" w:hint="eastAsia"/>
                <w:kern w:val="0"/>
                <w:sz w:val="22"/>
              </w:rPr>
              <w:t>科威特</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70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25</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沙特阿拉伯</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利雅得</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70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26</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吉达</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140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70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27</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其他城巿</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70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28</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巴林</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29</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以色列</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70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30</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巴勒斯坦</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180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70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31</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文莱</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32</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印度</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新德里、加尔各答</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175</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33</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孟买</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34</w:t>
            </w:r>
          </w:p>
        </w:tc>
        <w:tc>
          <w:tcPr>
            <w:tcW w:w="2268" w:type="dxa"/>
            <w:vMerge/>
            <w:tcBorders>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不丹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越南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河内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AA4189" w:rsidTr="00AA4189">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lastRenderedPageBreak/>
              <w:t>序号</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国家（地区）</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城市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币种</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住宿费         (每人每天）</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伙食费          (每人每天)</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公杂费            (每人每天）</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37</w:t>
            </w:r>
          </w:p>
        </w:tc>
        <w:tc>
          <w:tcPr>
            <w:tcW w:w="2268" w:type="dxa"/>
            <w:vMerge w:val="restart"/>
            <w:tcBorders>
              <w:top w:val="single" w:sz="4" w:space="0" w:color="auto"/>
              <w:left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越南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胡志明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38</w:t>
            </w:r>
          </w:p>
        </w:tc>
        <w:tc>
          <w:tcPr>
            <w:tcW w:w="2268" w:type="dxa"/>
            <w:vMerge/>
            <w:tcBorders>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39</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柬埔寨</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40</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老挝</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90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41</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马来西亚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110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42</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菲律宾</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43</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印度尼西亚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125</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44</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东帝汶</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45</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泰国</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曼谷</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140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46</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宋卡</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110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47</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清迈、孔敬</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90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48</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其他城市</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80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49</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新加坡</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50</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阿富汗</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51</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尼泊尔</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140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52</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黎巴嫩</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53</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塞浦路斯</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54</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约旦</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55</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土耳其</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安卡拉</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105</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56</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伊斯坦布尔</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57</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其他城市</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90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58</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叙利亚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110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59</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卡塔尔</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60</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香港</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港币</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61</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澳门</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港币</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62</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台湾</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AA4189">
        <w:trPr>
          <w:trHeight w:val="33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二</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非洲</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63</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马达加斯加</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塔那那利佛</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64</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塔马塔夫</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65</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其他城市</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90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66</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喀麦隆</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67</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多哥</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110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48</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68</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科特迪瓦</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69</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摩洛哥</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70</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阿尔及利亚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180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71</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卢旺达</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32</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72</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几内亚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73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埃塞俄比亚</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74</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厄立特里亚</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75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莫桑比克</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76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塞舌尔</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AA4189">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lastRenderedPageBreak/>
              <w:t>序号</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国家（地区）</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城市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币种</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住宿费         (每人每天）</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伙食费          (每人每天)</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公杂费            (每人每天）</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77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肯尼亚</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78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利比亚</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79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安哥拉</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80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赞比亚</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81</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几内亚比绍</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135</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82</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突尼斯</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83</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布隆迪</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84</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莱索托</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85</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津巴布韦</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33</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86</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尼日利亚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阿布贾</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270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87</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拉各斯</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88</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其他城市</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89</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毛里求斯</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155</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90</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索马里</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180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91</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苏丹</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32</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92</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贝宁</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93</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马里</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94</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乌干达</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170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95</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塞拉利昂</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155</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96</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吉布提</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97</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塞内加尔</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165</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98</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冈比亚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170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99</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加蓬</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180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100</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中非</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140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101</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布基纳法索</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140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102</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毛里塔尼亚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103</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尼日尔</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145</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104</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乍得</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105</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赤道几内亚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106</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加纳</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107</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坦桑尼亚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达累斯萨拉姆</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180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108</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桑给巴尔</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210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109</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其他城市</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110</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刚果（金）</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111</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刚果（布）</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170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埃及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113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圣多美和普林西比</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114</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博茨瓦纳</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170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115</w:t>
            </w:r>
          </w:p>
        </w:tc>
        <w:tc>
          <w:tcPr>
            <w:tcW w:w="2268" w:type="dxa"/>
            <w:vMerge w:val="restart"/>
            <w:tcBorders>
              <w:top w:val="single" w:sz="4" w:space="0" w:color="auto"/>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南非</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比勒陀利亚、约翰内斯堡</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116</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开普敦</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210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AA4189">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lastRenderedPageBreak/>
              <w:t>序号</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国家（地区）</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城市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币种</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住宿费         (每人每天）</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伙食费          (每人每天)</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公杂费            (每人每天）</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117</w:t>
            </w:r>
          </w:p>
        </w:tc>
        <w:tc>
          <w:tcPr>
            <w:tcW w:w="2268" w:type="dxa"/>
            <w:vMerge w:val="restart"/>
            <w:tcBorders>
              <w:top w:val="single" w:sz="4" w:space="0" w:color="auto"/>
              <w:left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南非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德班</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118</w:t>
            </w:r>
          </w:p>
        </w:tc>
        <w:tc>
          <w:tcPr>
            <w:tcW w:w="2268" w:type="dxa"/>
            <w:vMerge/>
            <w:tcBorders>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纳米比亚</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120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斯威士兰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121</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利比里亚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195</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122</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佛得角</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123</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科摩罗</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124</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南苏丹</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32</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125</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马拉维</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AA4189">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三</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欧洲</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126</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罗马尼亚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布加勒斯特</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127</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康斯坦察</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90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128</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其他城巿</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80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129</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马其顿</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130</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斯洛文尼亚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90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131</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波黑</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132</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克罗地亚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133</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阿尔巴尼亚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134</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保加利亚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110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135</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俄罗斯</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莫斯科</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285</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136</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哈巴罗夫斯克</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137</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Default="00AA4189" w:rsidP="004A5444">
            <w:pPr>
              <w:widowControl/>
              <w:jc w:val="center"/>
              <w:rPr>
                <w:rFonts w:ascii="宋体" w:hAnsi="宋体" w:cs="宋体"/>
                <w:kern w:val="0"/>
                <w:sz w:val="22"/>
              </w:rPr>
            </w:pPr>
            <w:r w:rsidRPr="001C64CD">
              <w:rPr>
                <w:rFonts w:ascii="宋体" w:hAnsi="宋体" w:cs="宋体" w:hint="eastAsia"/>
                <w:kern w:val="0"/>
                <w:sz w:val="22"/>
              </w:rPr>
              <w:t>叶卡捷琳堡、</w:t>
            </w:r>
          </w:p>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圣彼得堡</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170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138</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伊尔库</w:t>
            </w:r>
            <w:proofErr w:type="gramStart"/>
            <w:r w:rsidRPr="001C64CD">
              <w:rPr>
                <w:rFonts w:ascii="宋体" w:hAnsi="宋体" w:cs="宋体" w:hint="eastAsia"/>
                <w:kern w:val="0"/>
                <w:sz w:val="22"/>
              </w:rPr>
              <w:t>茨</w:t>
            </w:r>
            <w:proofErr w:type="gramEnd"/>
            <w:r w:rsidRPr="001C64CD">
              <w:rPr>
                <w:rFonts w:ascii="宋体" w:hAnsi="宋体" w:cs="宋体" w:hint="eastAsia"/>
                <w:kern w:val="0"/>
                <w:sz w:val="22"/>
              </w:rPr>
              <w:t>克</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139</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其他城巿</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140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140</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立陶宛</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141</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拉脱维亚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90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142</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爱沙尼亚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90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143</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乌克兰</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基辅</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144</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敖德萨</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145</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其他城巿</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80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146</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阿塞拜疆</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147</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亚美尼亚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格鲁吉亚</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149</w:t>
            </w:r>
          </w:p>
        </w:tc>
        <w:tc>
          <w:tcPr>
            <w:tcW w:w="2268" w:type="dxa"/>
            <w:vMerge w:val="restart"/>
            <w:tcBorders>
              <w:top w:val="single" w:sz="4" w:space="0" w:color="auto"/>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吉尔吉斯斯坦</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比什凯克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150</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其他城巿</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80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151</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塔吉克斯坦</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210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152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土库曼斯坦</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153</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乌兹别克斯坦</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塔什干</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32</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154</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撒马尔罕</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32</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155</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其他城巿</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90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32</w:t>
            </w:r>
          </w:p>
        </w:tc>
      </w:tr>
      <w:tr w:rsidR="00AA4189" w:rsidRPr="007C5E45" w:rsidTr="00AA4189">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lastRenderedPageBreak/>
              <w:t>序号</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国家（地区）</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城市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币种</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住宿费         (每人每天）</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伙食费          (每人每天)</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公杂费            (每人每天）</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156</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白俄罗斯</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180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157</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哈萨克斯坦</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阿斯塔纳</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158</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阿拉木图</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159</w:t>
            </w:r>
          </w:p>
        </w:tc>
        <w:tc>
          <w:tcPr>
            <w:tcW w:w="2268" w:type="dxa"/>
            <w:vMerge/>
            <w:tcBorders>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其他城巿</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摩尔多瓦</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161</w:t>
            </w:r>
          </w:p>
        </w:tc>
        <w:tc>
          <w:tcPr>
            <w:tcW w:w="2268" w:type="dxa"/>
            <w:vMerge w:val="restart"/>
            <w:tcBorders>
              <w:top w:val="single" w:sz="4" w:space="0" w:color="auto"/>
              <w:left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波兰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华沙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162</w:t>
            </w:r>
          </w:p>
        </w:tc>
        <w:tc>
          <w:tcPr>
            <w:tcW w:w="2268" w:type="dxa"/>
            <w:vMerge/>
            <w:tcBorders>
              <w:left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格但斯克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163</w:t>
            </w:r>
          </w:p>
        </w:tc>
        <w:tc>
          <w:tcPr>
            <w:tcW w:w="2268" w:type="dxa"/>
            <w:vMerge/>
            <w:tcBorders>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其他城市</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164</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德国</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柏林、汉堡</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165</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慕尼黑</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166</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法兰克福</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180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167</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其他城市</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168</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荷兰</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海牙</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169</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阿姆斯特丹</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170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170</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其他城市</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171</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意大利</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罗马</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172</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米兰</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140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173</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佛罗伦萨</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174</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其他城市</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110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175</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比利时</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176</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奥地利</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140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177</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希腊</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110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178</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法国</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巴黎</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57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179</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马赛、斯特拉斯堡、尼斯、里昂</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180</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其他城市</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181</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西班牙</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125</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182</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卢森堡</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183</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爱尔兰</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184</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葡萄牙</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185</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芬兰</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145</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捷克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187</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斯洛伐克</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nil"/>
              <w:bottom w:val="nil"/>
              <w:right w:val="nil"/>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188</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匈牙利</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180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189</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瑞典</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280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80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190</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丹麦</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80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191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挪威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80</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192</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瑞士</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70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193</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冰岛</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194</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马耳他</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90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38</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195</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塞尔维亚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AA4189">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lastRenderedPageBreak/>
              <w:t>序号</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国家（地区）</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城市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币种</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住宿费         (每人每天）</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伙食费          (每人每天)</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公杂费            (每人每天）</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196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黑山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欧元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22</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197</w:t>
            </w:r>
          </w:p>
        </w:tc>
        <w:tc>
          <w:tcPr>
            <w:tcW w:w="2268" w:type="dxa"/>
            <w:vMerge w:val="restart"/>
            <w:tcBorders>
              <w:top w:val="single" w:sz="4" w:space="0" w:color="auto"/>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英国</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伦敦</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英镑</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198</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曼彻斯特、爱丁堡</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英镑</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140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199</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其他城市</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英镑</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125</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AA4189">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四</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美洲</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b/>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b/>
                <w:kern w:val="0"/>
                <w:sz w:val="22"/>
              </w:rPr>
            </w:pP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b/>
                <w:kern w:val="0"/>
                <w:sz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b/>
                <w:kern w:val="0"/>
                <w:sz w:val="22"/>
              </w:rPr>
            </w:pP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b/>
                <w:kern w:val="0"/>
                <w:sz w:val="22"/>
              </w:rPr>
            </w:pP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200</w:t>
            </w:r>
          </w:p>
        </w:tc>
        <w:tc>
          <w:tcPr>
            <w:tcW w:w="2268" w:type="dxa"/>
            <w:vMerge w:val="restart"/>
            <w:tcBorders>
              <w:top w:val="single" w:sz="4" w:space="0" w:color="auto"/>
              <w:left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美国</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华盛顿</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201</w:t>
            </w:r>
          </w:p>
        </w:tc>
        <w:tc>
          <w:tcPr>
            <w:tcW w:w="2268" w:type="dxa"/>
            <w:vMerge/>
            <w:tcBorders>
              <w:left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旧金山</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202</w:t>
            </w:r>
          </w:p>
        </w:tc>
        <w:tc>
          <w:tcPr>
            <w:tcW w:w="2268" w:type="dxa"/>
            <w:vMerge/>
            <w:tcBorders>
              <w:left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休斯顿</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180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203</w:t>
            </w:r>
          </w:p>
        </w:tc>
        <w:tc>
          <w:tcPr>
            <w:tcW w:w="2268" w:type="dxa"/>
            <w:vMerge/>
            <w:tcBorders>
              <w:left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波士顿</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230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204</w:t>
            </w:r>
          </w:p>
        </w:tc>
        <w:tc>
          <w:tcPr>
            <w:tcW w:w="2268" w:type="dxa"/>
            <w:vMerge/>
            <w:tcBorders>
              <w:left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纽约</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245</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205</w:t>
            </w:r>
          </w:p>
        </w:tc>
        <w:tc>
          <w:tcPr>
            <w:tcW w:w="2268" w:type="dxa"/>
            <w:vMerge/>
            <w:tcBorders>
              <w:left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芝加哥</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206</w:t>
            </w:r>
          </w:p>
        </w:tc>
        <w:tc>
          <w:tcPr>
            <w:tcW w:w="2268" w:type="dxa"/>
            <w:vMerge/>
            <w:tcBorders>
              <w:left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洛杉矶</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207</w:t>
            </w:r>
          </w:p>
        </w:tc>
        <w:tc>
          <w:tcPr>
            <w:tcW w:w="2268" w:type="dxa"/>
            <w:vMerge/>
            <w:tcBorders>
              <w:left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夏威夷</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195</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208</w:t>
            </w:r>
          </w:p>
        </w:tc>
        <w:tc>
          <w:tcPr>
            <w:tcW w:w="2268" w:type="dxa"/>
            <w:vMerge/>
            <w:tcBorders>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其他城巿</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57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209</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加拿大</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渥太华、多伦多、 卡尔加里、蒙特利尔</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210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210</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温哥华</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240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211</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其他城市</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190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212</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墨西哥</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墨西哥</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213</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蒂华纳</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214</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其他城巿</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215</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巴西</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巴西利亚</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216</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圣保罗</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240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217</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里约热内卢</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260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218</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其他城市</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219</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牙买加</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220</w:t>
            </w:r>
          </w:p>
        </w:tc>
        <w:tc>
          <w:tcPr>
            <w:tcW w:w="2268"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特立尼达和多巴哥</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180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221</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厄瓜多尔</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32</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阿根廷</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223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乌拉圭</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224</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智利</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圣地亚哥</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135</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47</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225</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伊基克</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47</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226</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安托法加斯塔、阿里卡</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110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47</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227</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其他城市</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47</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228</w:t>
            </w:r>
          </w:p>
        </w:tc>
        <w:tc>
          <w:tcPr>
            <w:tcW w:w="2268" w:type="dxa"/>
            <w:vMerge w:val="restart"/>
            <w:tcBorders>
              <w:top w:val="single" w:sz="4" w:space="0" w:color="auto"/>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哥伦比亚</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波哥大</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229</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麦德林</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110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230</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卡塔赫纳</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231</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其他城市</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232</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巴巴多斯</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233</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圭亚那</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AA4189">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lastRenderedPageBreak/>
              <w:t>序号</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国家（地区）</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城市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币种</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住宿费         (每人每天）</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伙食费          (每人每天)</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公杂费            (每人每天）</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古巴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37</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巴拿马</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135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236</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格林纳达</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190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237</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安提瓜和巴布达</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秘鲁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239</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玻利维亚</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36</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240</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尼加拉瓜</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241</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苏里南</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110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242</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委内瑞拉</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230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243</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海地</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180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43</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244</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波多黎各</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245</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多米尼加</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246</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多米尼克</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247</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巴哈马</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248</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圣卢西亚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249</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阿鲁巴岛</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250</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哥斯达黎加</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r>
      <w:tr w:rsidR="00AA4189" w:rsidRPr="007C5E45" w:rsidTr="00AA4189">
        <w:trPr>
          <w:trHeight w:val="40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五</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b/>
                <w:kern w:val="0"/>
                <w:sz w:val="22"/>
              </w:rPr>
            </w:pPr>
            <w:r w:rsidRPr="001C64CD">
              <w:rPr>
                <w:rFonts w:ascii="宋体" w:hAnsi="宋体" w:cs="宋体" w:hint="eastAsia"/>
                <w:b/>
                <w:kern w:val="0"/>
                <w:sz w:val="22"/>
              </w:rPr>
              <w:t>大洋洲及太平洋岛屿</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b/>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b/>
                <w:kern w:val="0"/>
                <w:sz w:val="22"/>
              </w:rPr>
            </w:pP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b/>
                <w:kern w:val="0"/>
                <w:sz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b/>
                <w:kern w:val="0"/>
                <w:sz w:val="22"/>
              </w:rPr>
            </w:pP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b/>
                <w:kern w:val="0"/>
                <w:sz w:val="22"/>
              </w:rPr>
            </w:pP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251</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澳大利亚</w:t>
            </w:r>
          </w:p>
        </w:tc>
        <w:tc>
          <w:tcPr>
            <w:tcW w:w="2126" w:type="dxa"/>
            <w:tcBorders>
              <w:top w:val="nil"/>
              <w:left w:val="nil"/>
              <w:bottom w:val="single" w:sz="4" w:space="0" w:color="auto"/>
              <w:right w:val="single" w:sz="4" w:space="0" w:color="auto"/>
            </w:tcBorders>
            <w:shd w:val="clear" w:color="auto" w:fill="auto"/>
            <w:vAlign w:val="center"/>
            <w:hideMark/>
          </w:tcPr>
          <w:p w:rsidR="00AA4189" w:rsidRDefault="00AA4189" w:rsidP="004A5444">
            <w:pPr>
              <w:widowControl/>
              <w:jc w:val="center"/>
              <w:rPr>
                <w:rFonts w:ascii="宋体" w:hAnsi="宋体" w:cs="宋体"/>
                <w:kern w:val="0"/>
                <w:sz w:val="22"/>
              </w:rPr>
            </w:pPr>
            <w:r w:rsidRPr="001C64CD">
              <w:rPr>
                <w:rFonts w:ascii="宋体" w:hAnsi="宋体" w:cs="宋体" w:hint="eastAsia"/>
                <w:kern w:val="0"/>
                <w:sz w:val="22"/>
              </w:rPr>
              <w:t>堪培拉、帕斯、</w:t>
            </w:r>
          </w:p>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布里斯班</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180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252</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墨尔本、悉尼</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253</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其他城市</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254</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新西兰</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180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255</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roofErr w:type="gramStart"/>
            <w:r w:rsidRPr="001C64CD">
              <w:rPr>
                <w:rFonts w:ascii="宋体" w:hAnsi="宋体" w:cs="宋体" w:hint="eastAsia"/>
                <w:kern w:val="0"/>
                <w:sz w:val="22"/>
              </w:rPr>
              <w:t>萨</w:t>
            </w:r>
            <w:proofErr w:type="gramEnd"/>
            <w:r w:rsidRPr="001C64CD">
              <w:rPr>
                <w:rFonts w:ascii="宋体" w:hAnsi="宋体" w:cs="宋体" w:hint="eastAsia"/>
                <w:kern w:val="0"/>
                <w:sz w:val="22"/>
              </w:rPr>
              <w:t>摩亚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170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47</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256</w:t>
            </w:r>
          </w:p>
        </w:tc>
        <w:tc>
          <w:tcPr>
            <w:tcW w:w="2268" w:type="dxa"/>
            <w:vMerge w:val="restart"/>
            <w:tcBorders>
              <w:top w:val="nil"/>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斐济</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苏瓦</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190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257</w:t>
            </w:r>
          </w:p>
        </w:tc>
        <w:tc>
          <w:tcPr>
            <w:tcW w:w="2268" w:type="dxa"/>
            <w:vMerge/>
            <w:tcBorders>
              <w:left w:val="nil"/>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南迪</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258</w:t>
            </w:r>
          </w:p>
        </w:tc>
        <w:tc>
          <w:tcPr>
            <w:tcW w:w="2268" w:type="dxa"/>
            <w:vMerge/>
            <w:tcBorders>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其他城市</w:t>
            </w: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110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259</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巴布亚新几内亚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260</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密克罗尼西亚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40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30</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261</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马绍尔群岛</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262</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瓦努阿图</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263</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基里巴斯</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195</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55</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264</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汤加</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160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265</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帕</w:t>
            </w:r>
            <w:proofErr w:type="gramStart"/>
            <w:r w:rsidRPr="001C64CD">
              <w:rPr>
                <w:rFonts w:ascii="宋体" w:hAnsi="宋体" w:cs="宋体" w:hint="eastAsia"/>
                <w:kern w:val="0"/>
                <w:sz w:val="22"/>
              </w:rPr>
              <w:t>劳</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180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266</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库克群岛</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180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267</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所罗门群岛</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268</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法属留尼汪</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140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r w:rsidR="00AA4189" w:rsidRPr="007C5E45" w:rsidTr="004A5444">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269</w:t>
            </w:r>
          </w:p>
        </w:tc>
        <w:tc>
          <w:tcPr>
            <w:tcW w:w="226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法属波利尼西亚</w:t>
            </w:r>
          </w:p>
        </w:tc>
        <w:tc>
          <w:tcPr>
            <w:tcW w:w="2126" w:type="dxa"/>
            <w:tcBorders>
              <w:top w:val="nil"/>
              <w:left w:val="nil"/>
              <w:bottom w:val="single" w:sz="4" w:space="0" w:color="auto"/>
              <w:right w:val="single" w:sz="4" w:space="0" w:color="auto"/>
            </w:tcBorders>
            <w:shd w:val="clear" w:color="auto" w:fill="auto"/>
            <w:vAlign w:val="center"/>
            <w:hideMark/>
          </w:tcPr>
          <w:p w:rsidR="00AA4189" w:rsidRPr="001C64CD" w:rsidRDefault="00AA4189" w:rsidP="004A54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hint="eastAsia"/>
                <w:kern w:val="0"/>
                <w:sz w:val="22"/>
              </w:rPr>
              <w:t>美元</w:t>
            </w:r>
          </w:p>
        </w:tc>
        <w:tc>
          <w:tcPr>
            <w:tcW w:w="1381"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240</w:t>
            </w:r>
          </w:p>
        </w:tc>
        <w:tc>
          <w:tcPr>
            <w:tcW w:w="1418"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60</w:t>
            </w:r>
          </w:p>
        </w:tc>
        <w:tc>
          <w:tcPr>
            <w:tcW w:w="1465" w:type="dxa"/>
            <w:tcBorders>
              <w:top w:val="nil"/>
              <w:left w:val="nil"/>
              <w:bottom w:val="single" w:sz="4" w:space="0" w:color="auto"/>
              <w:right w:val="single" w:sz="4" w:space="0" w:color="auto"/>
            </w:tcBorders>
            <w:shd w:val="clear" w:color="auto" w:fill="auto"/>
            <w:noWrap/>
            <w:vAlign w:val="center"/>
            <w:hideMark/>
          </w:tcPr>
          <w:p w:rsidR="00AA4189" w:rsidRPr="001C64CD" w:rsidRDefault="00AA4189" w:rsidP="004A5444">
            <w:pPr>
              <w:widowControl/>
              <w:jc w:val="center"/>
              <w:rPr>
                <w:rFonts w:ascii="宋体" w:hAnsi="宋体" w:cs="宋体"/>
                <w:kern w:val="0"/>
                <w:sz w:val="22"/>
              </w:rPr>
            </w:pPr>
            <w:r w:rsidRPr="001C64CD">
              <w:rPr>
                <w:rFonts w:ascii="宋体" w:hAnsi="宋体" w:cs="宋体"/>
                <w:kern w:val="0"/>
                <w:sz w:val="22"/>
              </w:rPr>
              <w:t>35</w:t>
            </w:r>
          </w:p>
        </w:tc>
      </w:tr>
    </w:tbl>
    <w:p w:rsidR="00AA4189" w:rsidRPr="001C64CD" w:rsidRDefault="00AA4189" w:rsidP="00AA4189">
      <w:pPr>
        <w:widowControl/>
        <w:jc w:val="center"/>
        <w:rPr>
          <w:rFonts w:ascii="宋体" w:hAnsi="宋体" w:cs="宋体"/>
          <w:kern w:val="0"/>
          <w:sz w:val="22"/>
        </w:rPr>
      </w:pPr>
    </w:p>
    <w:p w:rsidR="009C275F" w:rsidRPr="009C275F" w:rsidRDefault="009C275F" w:rsidP="009C275F">
      <w:pPr>
        <w:pStyle w:val="a3"/>
        <w:widowControl w:val="0"/>
        <w:kinsoku w:val="0"/>
        <w:overflowPunct w:val="0"/>
        <w:autoSpaceDE w:val="0"/>
        <w:autoSpaceDN w:val="0"/>
        <w:adjustRightInd w:val="0"/>
        <w:snapToGrid w:val="0"/>
        <w:spacing w:before="0" w:beforeAutospacing="0" w:after="0" w:afterAutospacing="0" w:line="360" w:lineRule="auto"/>
        <w:rPr>
          <w:rFonts w:ascii="黑体" w:eastAsia="黑体" w:hAnsi="Arial" w:cs="Arial" w:hint="eastAsia"/>
          <w:sz w:val="32"/>
          <w:szCs w:val="32"/>
        </w:rPr>
      </w:pPr>
      <w:bookmarkStart w:id="0" w:name="_GoBack"/>
      <w:bookmarkEnd w:id="0"/>
    </w:p>
    <w:sectPr w:rsidR="009C275F" w:rsidRPr="009C2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ngLiU">
    <w:altName w:val="細明體"/>
    <w:panose1 w:val="02020309000000000000"/>
    <w:charset w:val="88"/>
    <w:family w:val="modern"/>
    <w:pitch w:val="fixed"/>
    <w:sig w:usb0="00000003" w:usb1="080E0000" w:usb2="00000016" w:usb3="00000000" w:csb0="0010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FFA"/>
    <w:rsid w:val="003E348D"/>
    <w:rsid w:val="00430A31"/>
    <w:rsid w:val="004F76E5"/>
    <w:rsid w:val="006B7149"/>
    <w:rsid w:val="008309A7"/>
    <w:rsid w:val="009C275F"/>
    <w:rsid w:val="00AA4189"/>
    <w:rsid w:val="00C40FFA"/>
    <w:rsid w:val="00F47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0A3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A4189"/>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4"/>
    <w:uiPriority w:val="99"/>
    <w:rsid w:val="00AA4189"/>
    <w:rPr>
      <w:rFonts w:ascii="Calibri" w:eastAsia="宋体" w:hAnsi="Calibri" w:cs="Times New Roman"/>
      <w:sz w:val="18"/>
      <w:szCs w:val="18"/>
    </w:rPr>
  </w:style>
  <w:style w:type="paragraph" w:styleId="a5">
    <w:name w:val="footer"/>
    <w:basedOn w:val="a"/>
    <w:link w:val="Char0"/>
    <w:uiPriority w:val="99"/>
    <w:unhideWhenUsed/>
    <w:rsid w:val="00AA4189"/>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5"/>
    <w:uiPriority w:val="99"/>
    <w:rsid w:val="00AA4189"/>
    <w:rPr>
      <w:rFonts w:ascii="Calibri" w:eastAsia="宋体" w:hAnsi="Calibri" w:cs="Times New Roman"/>
      <w:sz w:val="18"/>
      <w:szCs w:val="18"/>
    </w:rPr>
  </w:style>
  <w:style w:type="paragraph" w:styleId="a6">
    <w:name w:val="Balloon Text"/>
    <w:basedOn w:val="a"/>
    <w:link w:val="Char1"/>
    <w:uiPriority w:val="99"/>
    <w:semiHidden/>
    <w:unhideWhenUsed/>
    <w:rsid w:val="00AA4189"/>
    <w:rPr>
      <w:rFonts w:ascii="Calibri" w:eastAsia="宋体" w:hAnsi="Calibri" w:cs="Times New Roman"/>
      <w:sz w:val="18"/>
      <w:szCs w:val="18"/>
    </w:rPr>
  </w:style>
  <w:style w:type="character" w:customStyle="1" w:styleId="Char1">
    <w:name w:val="批注框文本 Char"/>
    <w:basedOn w:val="a0"/>
    <w:link w:val="a6"/>
    <w:uiPriority w:val="99"/>
    <w:semiHidden/>
    <w:rsid w:val="00AA4189"/>
    <w:rPr>
      <w:rFonts w:ascii="Calibri" w:eastAsia="宋体" w:hAnsi="Calibri" w:cs="Times New Roman"/>
      <w:sz w:val="18"/>
      <w:szCs w:val="18"/>
    </w:rPr>
  </w:style>
  <w:style w:type="character" w:styleId="a7">
    <w:name w:val="Hyperlink"/>
    <w:basedOn w:val="a0"/>
    <w:uiPriority w:val="99"/>
    <w:semiHidden/>
    <w:unhideWhenUsed/>
    <w:rsid w:val="00AA4189"/>
    <w:rPr>
      <w:color w:val="0000FF"/>
      <w:u w:val="single"/>
    </w:rPr>
  </w:style>
  <w:style w:type="paragraph" w:styleId="a8">
    <w:basedOn w:val="a0"/>
    <w:next w:val="a9"/>
    <w:uiPriority w:val="99"/>
    <w:unhideWhenUsed/>
    <w:rsid w:val="00AA4189"/>
  </w:style>
  <w:style w:type="paragraph" w:customStyle="1" w:styleId="font1">
    <w:name w:val="font1"/>
    <w:basedOn w:val="a"/>
    <w:rsid w:val="00AA4189"/>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rsid w:val="00AA4189"/>
    <w:pPr>
      <w:widowControl/>
      <w:spacing w:before="100" w:beforeAutospacing="1" w:after="100" w:afterAutospacing="1"/>
      <w:jc w:val="left"/>
    </w:pPr>
    <w:rPr>
      <w:rFonts w:ascii="宋体" w:eastAsia="宋体" w:hAnsi="宋体" w:cs="宋体"/>
      <w:b/>
      <w:bCs/>
      <w:kern w:val="0"/>
      <w:sz w:val="24"/>
      <w:szCs w:val="24"/>
    </w:rPr>
  </w:style>
  <w:style w:type="paragraph" w:customStyle="1" w:styleId="font6">
    <w:name w:val="font6"/>
    <w:basedOn w:val="a"/>
    <w:rsid w:val="00AA4189"/>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AA4189"/>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a"/>
    <w:rsid w:val="00AA4189"/>
    <w:pPr>
      <w:widowControl/>
      <w:spacing w:before="100" w:beforeAutospacing="1" w:after="100" w:afterAutospacing="1"/>
      <w:jc w:val="left"/>
    </w:pPr>
    <w:rPr>
      <w:rFonts w:ascii="宋体" w:eastAsia="宋体" w:hAnsi="宋体" w:cs="宋体"/>
      <w:b/>
      <w:bCs/>
      <w:kern w:val="0"/>
      <w:sz w:val="24"/>
      <w:szCs w:val="24"/>
    </w:rPr>
  </w:style>
  <w:style w:type="paragraph" w:customStyle="1" w:styleId="xl64">
    <w:name w:val="xl64"/>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xl65">
    <w:name w:val="xl65"/>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66">
    <w:name w:val="xl66"/>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67">
    <w:name w:val="xl67"/>
    <w:basedOn w:val="a"/>
    <w:rsid w:val="00AA418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AA418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AA418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71">
    <w:name w:val="xl71"/>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72">
    <w:name w:val="xl72"/>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73">
    <w:name w:val="xl73"/>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74">
    <w:name w:val="xl74"/>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75">
    <w:name w:val="xl75"/>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76">
    <w:name w:val="xl76"/>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78">
    <w:name w:val="xl78"/>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AA4189"/>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3">
    <w:name w:val="xl83"/>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4">
    <w:name w:val="xl84"/>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5">
    <w:name w:val="xl85"/>
    <w:basedOn w:val="a"/>
    <w:rsid w:val="00AA4189"/>
    <w:pPr>
      <w:widowControl/>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
    <w:rsid w:val="00AA4189"/>
    <w:pPr>
      <w:widowControl/>
      <w:spacing w:before="100" w:beforeAutospacing="1" w:after="100" w:afterAutospacing="1"/>
      <w:jc w:val="center"/>
      <w:textAlignment w:val="top"/>
    </w:pPr>
    <w:rPr>
      <w:rFonts w:ascii="宋体" w:eastAsia="宋体" w:hAnsi="宋体" w:cs="宋体"/>
      <w:kern w:val="0"/>
      <w:sz w:val="24"/>
      <w:szCs w:val="24"/>
    </w:rPr>
  </w:style>
  <w:style w:type="paragraph" w:customStyle="1" w:styleId="xl87">
    <w:name w:val="xl87"/>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MingLiU" w:eastAsia="MingLiU" w:hAnsi="MingLiU" w:cs="宋体"/>
      <w:b/>
      <w:bCs/>
      <w:kern w:val="0"/>
      <w:sz w:val="24"/>
      <w:szCs w:val="24"/>
    </w:rPr>
  </w:style>
  <w:style w:type="paragraph" w:customStyle="1" w:styleId="xl88">
    <w:name w:val="xl88"/>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character" w:styleId="a9">
    <w:name w:val="FollowedHyperlink"/>
    <w:basedOn w:val="a0"/>
    <w:uiPriority w:val="99"/>
    <w:semiHidden/>
    <w:unhideWhenUsed/>
    <w:rsid w:val="00AA41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0A3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A4189"/>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4"/>
    <w:uiPriority w:val="99"/>
    <w:rsid w:val="00AA4189"/>
    <w:rPr>
      <w:rFonts w:ascii="Calibri" w:eastAsia="宋体" w:hAnsi="Calibri" w:cs="Times New Roman"/>
      <w:sz w:val="18"/>
      <w:szCs w:val="18"/>
    </w:rPr>
  </w:style>
  <w:style w:type="paragraph" w:styleId="a5">
    <w:name w:val="footer"/>
    <w:basedOn w:val="a"/>
    <w:link w:val="Char0"/>
    <w:uiPriority w:val="99"/>
    <w:unhideWhenUsed/>
    <w:rsid w:val="00AA4189"/>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5"/>
    <w:uiPriority w:val="99"/>
    <w:rsid w:val="00AA4189"/>
    <w:rPr>
      <w:rFonts w:ascii="Calibri" w:eastAsia="宋体" w:hAnsi="Calibri" w:cs="Times New Roman"/>
      <w:sz w:val="18"/>
      <w:szCs w:val="18"/>
    </w:rPr>
  </w:style>
  <w:style w:type="paragraph" w:styleId="a6">
    <w:name w:val="Balloon Text"/>
    <w:basedOn w:val="a"/>
    <w:link w:val="Char1"/>
    <w:uiPriority w:val="99"/>
    <w:semiHidden/>
    <w:unhideWhenUsed/>
    <w:rsid w:val="00AA4189"/>
    <w:rPr>
      <w:rFonts w:ascii="Calibri" w:eastAsia="宋体" w:hAnsi="Calibri" w:cs="Times New Roman"/>
      <w:sz w:val="18"/>
      <w:szCs w:val="18"/>
    </w:rPr>
  </w:style>
  <w:style w:type="character" w:customStyle="1" w:styleId="Char1">
    <w:name w:val="批注框文本 Char"/>
    <w:basedOn w:val="a0"/>
    <w:link w:val="a6"/>
    <w:uiPriority w:val="99"/>
    <w:semiHidden/>
    <w:rsid w:val="00AA4189"/>
    <w:rPr>
      <w:rFonts w:ascii="Calibri" w:eastAsia="宋体" w:hAnsi="Calibri" w:cs="Times New Roman"/>
      <w:sz w:val="18"/>
      <w:szCs w:val="18"/>
    </w:rPr>
  </w:style>
  <w:style w:type="character" w:styleId="a7">
    <w:name w:val="Hyperlink"/>
    <w:basedOn w:val="a0"/>
    <w:uiPriority w:val="99"/>
    <w:semiHidden/>
    <w:unhideWhenUsed/>
    <w:rsid w:val="00AA4189"/>
    <w:rPr>
      <w:color w:val="0000FF"/>
      <w:u w:val="single"/>
    </w:rPr>
  </w:style>
  <w:style w:type="paragraph" w:styleId="a8">
    <w:basedOn w:val="a0"/>
    <w:next w:val="a9"/>
    <w:uiPriority w:val="99"/>
    <w:unhideWhenUsed/>
    <w:rsid w:val="00AA4189"/>
  </w:style>
  <w:style w:type="paragraph" w:customStyle="1" w:styleId="font1">
    <w:name w:val="font1"/>
    <w:basedOn w:val="a"/>
    <w:rsid w:val="00AA4189"/>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rsid w:val="00AA4189"/>
    <w:pPr>
      <w:widowControl/>
      <w:spacing w:before="100" w:beforeAutospacing="1" w:after="100" w:afterAutospacing="1"/>
      <w:jc w:val="left"/>
    </w:pPr>
    <w:rPr>
      <w:rFonts w:ascii="宋体" w:eastAsia="宋体" w:hAnsi="宋体" w:cs="宋体"/>
      <w:b/>
      <w:bCs/>
      <w:kern w:val="0"/>
      <w:sz w:val="24"/>
      <w:szCs w:val="24"/>
    </w:rPr>
  </w:style>
  <w:style w:type="paragraph" w:customStyle="1" w:styleId="font6">
    <w:name w:val="font6"/>
    <w:basedOn w:val="a"/>
    <w:rsid w:val="00AA4189"/>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AA4189"/>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a"/>
    <w:rsid w:val="00AA4189"/>
    <w:pPr>
      <w:widowControl/>
      <w:spacing w:before="100" w:beforeAutospacing="1" w:after="100" w:afterAutospacing="1"/>
      <w:jc w:val="left"/>
    </w:pPr>
    <w:rPr>
      <w:rFonts w:ascii="宋体" w:eastAsia="宋体" w:hAnsi="宋体" w:cs="宋体"/>
      <w:b/>
      <w:bCs/>
      <w:kern w:val="0"/>
      <w:sz w:val="24"/>
      <w:szCs w:val="24"/>
    </w:rPr>
  </w:style>
  <w:style w:type="paragraph" w:customStyle="1" w:styleId="xl64">
    <w:name w:val="xl64"/>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xl65">
    <w:name w:val="xl65"/>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66">
    <w:name w:val="xl66"/>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67">
    <w:name w:val="xl67"/>
    <w:basedOn w:val="a"/>
    <w:rsid w:val="00AA418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AA418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AA418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71">
    <w:name w:val="xl71"/>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72">
    <w:name w:val="xl72"/>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73">
    <w:name w:val="xl73"/>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74">
    <w:name w:val="xl74"/>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75">
    <w:name w:val="xl75"/>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76">
    <w:name w:val="xl76"/>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78">
    <w:name w:val="xl78"/>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AA4189"/>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3">
    <w:name w:val="xl83"/>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4">
    <w:name w:val="xl84"/>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5">
    <w:name w:val="xl85"/>
    <w:basedOn w:val="a"/>
    <w:rsid w:val="00AA4189"/>
    <w:pPr>
      <w:widowControl/>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
    <w:rsid w:val="00AA4189"/>
    <w:pPr>
      <w:widowControl/>
      <w:spacing w:before="100" w:beforeAutospacing="1" w:after="100" w:afterAutospacing="1"/>
      <w:jc w:val="center"/>
      <w:textAlignment w:val="top"/>
    </w:pPr>
    <w:rPr>
      <w:rFonts w:ascii="宋体" w:eastAsia="宋体" w:hAnsi="宋体" w:cs="宋体"/>
      <w:kern w:val="0"/>
      <w:sz w:val="24"/>
      <w:szCs w:val="24"/>
    </w:rPr>
  </w:style>
  <w:style w:type="paragraph" w:customStyle="1" w:styleId="xl87">
    <w:name w:val="xl87"/>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MingLiU" w:eastAsia="MingLiU" w:hAnsi="MingLiU" w:cs="宋体"/>
      <w:b/>
      <w:bCs/>
      <w:kern w:val="0"/>
      <w:sz w:val="24"/>
      <w:szCs w:val="24"/>
    </w:rPr>
  </w:style>
  <w:style w:type="paragraph" w:customStyle="1" w:styleId="xl88">
    <w:name w:val="xl88"/>
    <w:basedOn w:val="a"/>
    <w:rsid w:val="00AA41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character" w:styleId="a9">
    <w:name w:val="FollowedHyperlink"/>
    <w:basedOn w:val="a0"/>
    <w:uiPriority w:val="99"/>
    <w:semiHidden/>
    <w:unhideWhenUsed/>
    <w:rsid w:val="00AA41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8443">
      <w:bodyDiv w:val="1"/>
      <w:marLeft w:val="0"/>
      <w:marRight w:val="0"/>
      <w:marTop w:val="0"/>
      <w:marBottom w:val="0"/>
      <w:divBdr>
        <w:top w:val="none" w:sz="0" w:space="0" w:color="auto"/>
        <w:left w:val="none" w:sz="0" w:space="0" w:color="auto"/>
        <w:bottom w:val="none" w:sz="0" w:space="0" w:color="auto"/>
        <w:right w:val="none" w:sz="0" w:space="0" w:color="auto"/>
      </w:divBdr>
      <w:divsChild>
        <w:div w:id="2055811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15</Pages>
  <Words>1751</Words>
  <Characters>9981</Characters>
  <Application>Microsoft Office Word</Application>
  <DocSecurity>0</DocSecurity>
  <Lines>83</Lines>
  <Paragraphs>23</Paragraphs>
  <ScaleCrop>false</ScaleCrop>
  <Company/>
  <LinksUpToDate>false</LinksUpToDate>
  <CharactersWithSpaces>11709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陆琼燕</dc:creator>
  <cp:keywords/>
  <dc:description/>
  <cp:lastModifiedBy>陆琼燕</cp:lastModifiedBy>
  <cp:revision>6</cp:revision>
  <dcterms:created xsi:type="dcterms:W3CDTF">2016-11-25T01:37:00Z</dcterms:created>
  <dcterms:modified xsi:type="dcterms:W3CDTF">2016-11-25T02:15:00Z</dcterms:modified>
</cp:coreProperties>
</file>