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20</w:t>
      </w:r>
      <w:r>
        <w:rPr>
          <w:rFonts w:hint="default" w:ascii="华文中宋" w:hAnsi="华文中宋" w:eastAsia="华文中宋" w:cs="华文中宋"/>
          <w:b/>
          <w:bCs/>
          <w:sz w:val="36"/>
          <w:szCs w:val="44"/>
          <w:lang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年度上海全面依法治市调研课题指南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一、全面依法治市调硏课题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1．习近平总书记全面依法治国新理念新思想新战略研究；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上海城市治理现代化法治保障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完善基层立法联系点、健全民主立法机制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优化营商环境法治保障问题、建议及对策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5．长三角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示范区法治保障工作机制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公共安全、公共卫生法治保障机制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司法执行体制改革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涉外商事争议解决机制短板及对策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人工智能与法治建设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法治评估与考核实践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二、法治政府建设调研课题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自贸区建设与政府法治的探索与创新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2．法治政府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建设平台、路径及对策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政府治理中合作治理机制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数字治理与政府法治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“一网通办”与“一网通管”法治保障机制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“放管服”改革中的创新与法治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依法行政中的“软法”作用发挥机制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完善政府立法体制机制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9. 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基层行政执法中的短板与对策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行政争议解决与行政救济机制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三、法治社会建设调研课题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创新宪法学习宣传工作机制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创新普法工作机制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诚信建设法治保障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网络安全的法治保障机制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硏究；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公共法律服务体系评价机制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新时期司法所功能与定位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统一刑罚执行体制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创新戒毒管理工作机制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多元纠纷解决机制探索与创新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10．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高端涉外法治人才队伍建设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以上列举选题，供课题成果申报者参考。具体调研题目由申报者结合实际情况拟定，要求站位高、切口小，理论联系实际紧密，调研课题具有普遍指导借鉴意义。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715FD"/>
    <w:rsid w:val="0AE715FD"/>
    <w:rsid w:val="FFBFD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2019-04-16T17:32:00Z</dcterms:created>
  <dc:creator>规范化规范化</dc:creator>
  <cp:lastModifiedBy>Xi</cp:lastModifiedBy>
  <dcterms:modified xsi:type="dcterms:W3CDTF">2020-03-04T19:42:55Z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