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b/>
          <w:sz w:val="32"/>
          <w:szCs w:val="32"/>
        </w:rPr>
      </w:pPr>
      <w:r>
        <w:rPr>
          <w:rFonts w:hint="eastAsia" w:ascii="宋体" w:hAnsi="宋体"/>
          <w:b/>
          <w:sz w:val="32"/>
          <w:szCs w:val="32"/>
        </w:rPr>
        <w:t>灭火器</w:t>
      </w:r>
      <w:r>
        <w:rPr>
          <w:rFonts w:ascii="宋体" w:hAnsi="宋体"/>
          <w:b/>
          <w:sz w:val="32"/>
          <w:szCs w:val="32"/>
        </w:rPr>
        <w:t>技术要求</w:t>
      </w:r>
    </w:p>
    <w:p>
      <w:pPr>
        <w:spacing w:line="360" w:lineRule="auto"/>
        <w:rPr>
          <w:rFonts w:ascii="宋体" w:hAnsi="宋体"/>
          <w:sz w:val="24"/>
          <w:szCs w:val="24"/>
        </w:rPr>
      </w:pPr>
      <w:r>
        <w:rPr>
          <w:rFonts w:ascii="宋体" w:hAnsi="宋体"/>
          <w:sz w:val="24"/>
          <w:szCs w:val="24"/>
        </w:rPr>
        <w:t>一、本次招标要求投标人须具备：</w:t>
      </w:r>
    </w:p>
    <w:p>
      <w:pPr>
        <w:numPr>
          <w:ilvl w:val="0"/>
          <w:numId w:val="1"/>
        </w:numPr>
        <w:spacing w:line="360" w:lineRule="auto"/>
        <w:rPr>
          <w:rFonts w:ascii="宋体" w:hAnsi="宋体"/>
          <w:sz w:val="24"/>
          <w:szCs w:val="24"/>
        </w:rPr>
      </w:pPr>
      <w:r>
        <w:rPr>
          <w:rFonts w:ascii="宋体" w:hAnsi="宋体"/>
          <w:sz w:val="24"/>
          <w:szCs w:val="24"/>
        </w:rPr>
        <w:t>资质条件：</w:t>
      </w:r>
    </w:p>
    <w:p>
      <w:pPr>
        <w:numPr>
          <w:ilvl w:val="0"/>
          <w:numId w:val="2"/>
        </w:numPr>
        <w:spacing w:line="360" w:lineRule="auto"/>
        <w:rPr>
          <w:rFonts w:ascii="宋体" w:hAnsi="宋体"/>
          <w:sz w:val="24"/>
          <w:szCs w:val="24"/>
        </w:rPr>
      </w:pPr>
      <w:r>
        <w:rPr>
          <w:rFonts w:ascii="宋体" w:hAnsi="宋体"/>
          <w:sz w:val="24"/>
          <w:szCs w:val="24"/>
        </w:rPr>
        <w:t>投标人可为制造商或代理商；</w:t>
      </w:r>
      <w:r>
        <w:rPr>
          <w:rFonts w:hint="eastAsia" w:ascii="宋体" w:hAnsi="宋体"/>
          <w:sz w:val="24"/>
          <w:szCs w:val="24"/>
          <w:lang w:val="en-US" w:eastAsia="zh-CN"/>
        </w:rPr>
        <w:t>代理商必须有厂家授权书。</w:t>
      </w:r>
    </w:p>
    <w:p>
      <w:pPr>
        <w:numPr>
          <w:ilvl w:val="0"/>
          <w:numId w:val="2"/>
        </w:numPr>
        <w:spacing w:line="360" w:lineRule="auto"/>
        <w:rPr>
          <w:rFonts w:ascii="宋体" w:hAnsi="宋体"/>
          <w:sz w:val="24"/>
          <w:szCs w:val="24"/>
        </w:rPr>
      </w:pPr>
      <w:r>
        <w:rPr>
          <w:rFonts w:ascii="宋体" w:hAnsi="宋体"/>
          <w:sz w:val="24"/>
          <w:szCs w:val="24"/>
        </w:rPr>
        <w:t>投标人营业执照需包含投标产品的经营范围；</w:t>
      </w:r>
    </w:p>
    <w:p>
      <w:pPr>
        <w:numPr>
          <w:ilvl w:val="0"/>
          <w:numId w:val="2"/>
        </w:numPr>
        <w:spacing w:line="360" w:lineRule="auto"/>
        <w:rPr>
          <w:rFonts w:ascii="宋体" w:hAnsi="宋体"/>
          <w:sz w:val="24"/>
          <w:szCs w:val="24"/>
        </w:rPr>
      </w:pPr>
      <w:r>
        <w:rPr>
          <w:rFonts w:ascii="宋体" w:hAnsi="宋体"/>
          <w:sz w:val="24"/>
          <w:szCs w:val="24"/>
        </w:rPr>
        <w:t>投标人若为制造商，应至少具备生产所投产品其中一类灭火器（干粉类或二氧化碳类）的技术能力，并需提供外协种类（干粉类或二氧化碳类）灭火器制造商出具的授权书；投标人若为代理商，需提供制造商出具的产品授权书（若所代理制造商仅具备所投产品其中一类灭火器能力，须提供另外一类灭火器有生产能力制造商的产品授权，但两类灭火器的授权制造商最多只能为</w:t>
      </w:r>
      <w:r>
        <w:rPr>
          <w:rFonts w:hint="eastAsia" w:ascii="宋体" w:hAnsi="宋体"/>
          <w:sz w:val="24"/>
          <w:szCs w:val="24"/>
          <w:lang w:val="en-US" w:eastAsia="zh-CN"/>
        </w:rPr>
        <w:t>三</w:t>
      </w:r>
      <w:r>
        <w:rPr>
          <w:rFonts w:ascii="宋体" w:hAnsi="宋体"/>
          <w:sz w:val="24"/>
          <w:szCs w:val="24"/>
        </w:rPr>
        <w:t>家</w:t>
      </w:r>
      <w:r>
        <w:rPr>
          <w:rFonts w:hint="eastAsia" w:ascii="宋体" w:hAnsi="宋体"/>
          <w:sz w:val="24"/>
          <w:szCs w:val="24"/>
          <w:lang w:eastAsia="zh-CN"/>
        </w:rPr>
        <w:t>、</w:t>
      </w:r>
      <w:r>
        <w:rPr>
          <w:rFonts w:hint="eastAsia" w:ascii="宋体" w:hAnsi="宋体"/>
          <w:sz w:val="24"/>
          <w:szCs w:val="24"/>
          <w:lang w:val="en-US" w:eastAsia="zh-CN"/>
        </w:rPr>
        <w:t>未提供厂方授权书作无效报报价</w:t>
      </w:r>
      <w:r>
        <w:rPr>
          <w:rFonts w:ascii="宋体" w:hAnsi="宋体"/>
          <w:sz w:val="24"/>
          <w:szCs w:val="24"/>
        </w:rPr>
        <w:t>）；</w:t>
      </w:r>
    </w:p>
    <w:p>
      <w:pPr>
        <w:numPr>
          <w:ilvl w:val="0"/>
          <w:numId w:val="2"/>
        </w:numPr>
        <w:spacing w:line="360" w:lineRule="auto"/>
        <w:rPr>
          <w:rFonts w:ascii="宋体" w:hAnsi="宋体"/>
          <w:sz w:val="24"/>
          <w:szCs w:val="24"/>
        </w:rPr>
      </w:pPr>
      <w:r>
        <w:rPr>
          <w:rFonts w:ascii="宋体" w:hAnsi="宋体"/>
          <w:sz w:val="24"/>
          <w:szCs w:val="24"/>
        </w:rPr>
        <w:t>投标人需保证中标后所供产品均为原厂正品生产并具有完整的供货方案及完善的售后服务；</w:t>
      </w:r>
    </w:p>
    <w:p>
      <w:pPr>
        <w:numPr>
          <w:ilvl w:val="0"/>
          <w:numId w:val="3"/>
        </w:numPr>
        <w:spacing w:line="360" w:lineRule="auto"/>
        <w:rPr>
          <w:rFonts w:ascii="宋体" w:hAnsi="宋体"/>
          <w:sz w:val="24"/>
          <w:szCs w:val="24"/>
        </w:rPr>
      </w:pPr>
      <w:bookmarkStart w:id="0" w:name="_GoBack"/>
      <w:bookmarkEnd w:id="0"/>
      <w:r>
        <w:rPr>
          <w:rFonts w:ascii="宋体" w:hAnsi="宋体"/>
          <w:sz w:val="24"/>
          <w:szCs w:val="24"/>
        </w:rPr>
        <w:t>其他要求：投标人需提供所投产品《国家强制性产品认证证书》和国家消防装备质量监督检验中心签发的产品检验报告（均需在有效期内）。</w:t>
      </w:r>
    </w:p>
    <w:p>
      <w:pPr>
        <w:spacing w:line="360" w:lineRule="auto"/>
        <w:rPr>
          <w:rFonts w:ascii="宋体" w:hAnsi="宋体"/>
          <w:sz w:val="24"/>
          <w:szCs w:val="24"/>
        </w:rPr>
      </w:pPr>
      <w:r>
        <w:rPr>
          <w:rFonts w:ascii="宋体" w:hAnsi="宋体"/>
          <w:sz w:val="24"/>
          <w:szCs w:val="24"/>
        </w:rPr>
        <w:t>二、产品技术</w:t>
      </w:r>
      <w:r>
        <w:rPr>
          <w:rFonts w:hint="eastAsia" w:ascii="宋体" w:hAnsi="宋体"/>
          <w:sz w:val="24"/>
          <w:szCs w:val="24"/>
          <w:lang w:val="en-US" w:eastAsia="zh-CN"/>
        </w:rPr>
        <w:t>参数</w:t>
      </w:r>
      <w:r>
        <w:rPr>
          <w:rFonts w:ascii="宋体" w:hAnsi="宋体"/>
          <w:sz w:val="24"/>
          <w:szCs w:val="24"/>
        </w:rPr>
        <w:t>要求</w:t>
      </w:r>
    </w:p>
    <w:p>
      <w:pPr>
        <w:numPr>
          <w:ilvl w:val="0"/>
          <w:numId w:val="4"/>
        </w:numPr>
        <w:spacing w:line="360" w:lineRule="auto"/>
        <w:rPr>
          <w:rFonts w:ascii="宋体" w:hAnsi="宋体"/>
          <w:sz w:val="24"/>
          <w:szCs w:val="24"/>
        </w:rPr>
      </w:pPr>
      <w:r>
        <w:rPr>
          <w:rFonts w:ascii="宋体" w:hAnsi="宋体"/>
          <w:sz w:val="24"/>
          <w:szCs w:val="24"/>
        </w:rPr>
        <w:t>灭火器品名：</w:t>
      </w:r>
      <w:r>
        <w:rPr>
          <w:rFonts w:hint="eastAsia" w:ascii="宋体" w:hAnsi="宋体"/>
          <w:sz w:val="24"/>
          <w:szCs w:val="24"/>
          <w:lang w:val="en-US" w:eastAsia="zh-CN"/>
        </w:rPr>
        <w:t>3</w:t>
      </w:r>
      <w:r>
        <w:rPr>
          <w:rFonts w:ascii="宋体" w:hAnsi="宋体"/>
          <w:sz w:val="24"/>
          <w:szCs w:val="24"/>
        </w:rPr>
        <w:t>Kg手提式灭火器</w:t>
      </w:r>
      <w:r>
        <w:rPr>
          <w:rFonts w:hint="eastAsia" w:ascii="宋体" w:hAnsi="宋体"/>
          <w:sz w:val="24"/>
          <w:szCs w:val="24"/>
          <w:lang w:eastAsia="zh-CN"/>
        </w:rPr>
        <w:t>、</w:t>
      </w:r>
      <w:r>
        <w:rPr>
          <w:rFonts w:ascii="宋体" w:hAnsi="宋体"/>
          <w:sz w:val="24"/>
          <w:szCs w:val="24"/>
        </w:rPr>
        <w:t>灭火器种类：MFZ/ABC型；</w:t>
      </w:r>
    </w:p>
    <w:p>
      <w:pPr>
        <w:numPr>
          <w:ilvl w:val="0"/>
          <w:numId w:val="4"/>
        </w:numPr>
        <w:spacing w:line="360" w:lineRule="auto"/>
        <w:rPr>
          <w:rFonts w:ascii="宋体" w:hAnsi="宋体"/>
          <w:sz w:val="24"/>
          <w:szCs w:val="24"/>
        </w:rPr>
      </w:pPr>
      <w:r>
        <w:rPr>
          <w:rFonts w:ascii="宋体" w:hAnsi="宋体"/>
          <w:sz w:val="24"/>
          <w:szCs w:val="24"/>
        </w:rPr>
        <w:t>出厂日期：所有灭火器不得早于20</w:t>
      </w:r>
      <w:r>
        <w:rPr>
          <w:rFonts w:hint="eastAsia" w:ascii="宋体" w:hAnsi="宋体"/>
          <w:sz w:val="24"/>
          <w:szCs w:val="24"/>
          <w:lang w:val="en-US" w:eastAsia="zh-CN"/>
        </w:rPr>
        <w:t xml:space="preserve">21 </w:t>
      </w:r>
      <w:r>
        <w:rPr>
          <w:rFonts w:ascii="宋体" w:hAnsi="宋体"/>
          <w:sz w:val="24"/>
          <w:szCs w:val="24"/>
        </w:rPr>
        <w:t>年</w:t>
      </w:r>
      <w:r>
        <w:rPr>
          <w:rFonts w:hint="eastAsia" w:ascii="宋体" w:hAnsi="宋体"/>
          <w:sz w:val="24"/>
          <w:szCs w:val="24"/>
          <w:lang w:val="en-US" w:eastAsia="zh-CN"/>
        </w:rPr>
        <w:t>7</w:t>
      </w:r>
      <w:r>
        <w:rPr>
          <w:rFonts w:ascii="宋体" w:hAnsi="宋体"/>
          <w:sz w:val="24"/>
          <w:szCs w:val="24"/>
        </w:rPr>
        <w:t>月30日出厂；</w:t>
      </w:r>
    </w:p>
    <w:p>
      <w:pPr>
        <w:numPr>
          <w:ilvl w:val="0"/>
          <w:numId w:val="4"/>
        </w:numPr>
        <w:spacing w:line="360" w:lineRule="auto"/>
        <w:rPr>
          <w:rFonts w:ascii="宋体" w:hAnsi="宋体"/>
          <w:sz w:val="24"/>
          <w:szCs w:val="24"/>
        </w:rPr>
      </w:pPr>
      <w:r>
        <w:rPr>
          <w:rFonts w:ascii="宋体" w:hAnsi="宋体"/>
          <w:sz w:val="24"/>
          <w:szCs w:val="24"/>
        </w:rPr>
        <w:t>配送要求：配送到相应消防箱</w:t>
      </w:r>
      <w:r>
        <w:rPr>
          <w:rFonts w:hint="eastAsia" w:ascii="宋体" w:hAnsi="宋体"/>
          <w:sz w:val="24"/>
          <w:szCs w:val="24"/>
          <w:lang w:val="en-US" w:eastAsia="zh-CN"/>
        </w:rPr>
        <w:t>位置</w:t>
      </w:r>
      <w:r>
        <w:rPr>
          <w:rFonts w:ascii="宋体" w:hAnsi="宋体"/>
          <w:sz w:val="24"/>
          <w:szCs w:val="24"/>
        </w:rPr>
        <w:t>；</w:t>
      </w:r>
    </w:p>
    <w:p>
      <w:pPr>
        <w:numPr>
          <w:ilvl w:val="0"/>
          <w:numId w:val="4"/>
        </w:numPr>
        <w:spacing w:line="360" w:lineRule="auto"/>
        <w:rPr>
          <w:rFonts w:ascii="宋体" w:hAnsi="宋体"/>
          <w:sz w:val="24"/>
          <w:szCs w:val="24"/>
        </w:rPr>
      </w:pPr>
      <w:r>
        <w:rPr>
          <w:rFonts w:hint="eastAsia" w:ascii="宋体" w:hAnsi="宋体"/>
          <w:sz w:val="24"/>
          <w:szCs w:val="24"/>
          <w:lang w:val="en-US" w:eastAsia="zh-CN"/>
        </w:rPr>
        <w:t>技术要求：未满足带</w:t>
      </w:r>
      <w:r>
        <w:rPr>
          <w:rFonts w:hint="eastAsia" w:ascii="宋体" w:hAnsi="宋体" w:eastAsia="宋体" w:cs="宋体"/>
          <w:sz w:val="24"/>
          <w:szCs w:val="24"/>
          <w:lang w:val="en-US" w:eastAsia="zh-CN"/>
        </w:rPr>
        <w:t>★</w:t>
      </w:r>
      <w:r>
        <w:rPr>
          <w:rFonts w:hint="eastAsia" w:ascii="宋体" w:hAnsi="宋体"/>
          <w:sz w:val="24"/>
          <w:szCs w:val="24"/>
          <w:lang w:val="en-US" w:eastAsia="zh-CN"/>
        </w:rPr>
        <w:t>技术的参数要求不接受该产品；</w:t>
      </w:r>
    </w:p>
    <w:p>
      <w:pPr>
        <w:numPr>
          <w:ilvl w:val="0"/>
          <w:numId w:val="0"/>
        </w:numPr>
        <w:spacing w:line="360" w:lineRule="auto"/>
        <w:jc w:val="center"/>
        <w:rPr>
          <w:rFonts w:hint="eastAsia" w:ascii="宋体" w:hAnsi="宋体"/>
          <w:sz w:val="24"/>
          <w:szCs w:val="24"/>
          <w:lang w:val="en-US" w:eastAsia="zh-CN"/>
        </w:rPr>
      </w:pPr>
      <w:r>
        <w:rPr>
          <w:rFonts w:hint="eastAsia" w:ascii="宋体" w:hAnsi="宋体"/>
          <w:sz w:val="24"/>
          <w:szCs w:val="24"/>
          <w:lang w:val="en-US" w:eastAsia="zh-CN"/>
        </w:rPr>
        <w:t>技术质量要求表</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4"/>
        <w:gridCol w:w="3817"/>
        <w:gridCol w:w="3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38" w:type="dxa"/>
            <w:gridSpan w:val="3"/>
          </w:tcPr>
          <w:p>
            <w:pPr>
              <w:widowControl w:val="0"/>
              <w:numPr>
                <w:ilvl w:val="0"/>
                <w:numId w:val="0"/>
              </w:numPr>
              <w:spacing w:line="360" w:lineRule="auto"/>
              <w:jc w:val="center"/>
              <w:rPr>
                <w:rFonts w:hint="default" w:ascii="宋体" w:hAnsi="宋体"/>
                <w:sz w:val="24"/>
                <w:szCs w:val="24"/>
                <w:vertAlign w:val="baseline"/>
                <w:lang w:val="en-US" w:eastAsia="zh-CN"/>
              </w:rPr>
            </w:pPr>
            <w:r>
              <w:rPr>
                <w:rFonts w:hint="eastAsia" w:ascii="宋体" w:hAnsi="宋体"/>
                <w:b/>
                <w:bCs/>
                <w:sz w:val="24"/>
                <w:szCs w:val="24"/>
                <w:vertAlign w:val="baseline"/>
                <w:lang w:val="en-US" w:eastAsia="zh-CN"/>
              </w:rPr>
              <w:t>3kg干粉灭火器（</w:t>
            </w:r>
            <w:r>
              <w:rPr>
                <w:rFonts w:hint="eastAsia" w:ascii="宋体" w:hAnsi="宋体"/>
                <w:b w:val="0"/>
                <w:bCs w:val="0"/>
                <w:sz w:val="24"/>
                <w:szCs w:val="24"/>
                <w:vertAlign w:val="baseline"/>
                <w:lang w:val="en-US" w:eastAsia="zh-CN"/>
              </w:rPr>
              <w:t>带</w:t>
            </w:r>
            <w:r>
              <w:rPr>
                <w:rFonts w:hint="eastAsia" w:ascii="宋体" w:hAnsi="宋体" w:eastAsia="宋体" w:cs="宋体"/>
                <w:sz w:val="24"/>
                <w:szCs w:val="24"/>
                <w:lang w:val="en-US" w:eastAsia="zh-CN"/>
              </w:rPr>
              <w:t>★</w:t>
            </w:r>
            <w:r>
              <w:rPr>
                <w:rFonts w:hint="eastAsia" w:ascii="宋体" w:hAnsi="宋体" w:cs="宋体"/>
                <w:sz w:val="24"/>
                <w:szCs w:val="24"/>
                <w:lang w:val="en-US" w:eastAsia="zh-CN"/>
              </w:rPr>
              <w:t>必须满足</w:t>
            </w:r>
            <w:r>
              <w:rPr>
                <w:rFonts w:hint="eastAsia" w:ascii="宋体" w:hAnsi="宋体"/>
                <w:b/>
                <w:bCs/>
                <w:sz w:val="24"/>
                <w:szCs w:val="24"/>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4" w:type="dxa"/>
            <w:vAlign w:val="top"/>
          </w:tcPr>
          <w:p>
            <w:pPr>
              <w:widowControl w:val="0"/>
              <w:numPr>
                <w:ilvl w:val="0"/>
                <w:numId w:val="0"/>
              </w:numPr>
              <w:spacing w:line="360" w:lineRule="auto"/>
              <w:ind w:left="0" w:leftChars="0" w:firstLine="0" w:firstLineChars="0"/>
              <w:jc w:val="center"/>
              <w:rPr>
                <w:rFonts w:hint="eastAsia" w:ascii="宋体" w:hAnsi="宋体" w:eastAsia="宋体" w:cs="Times New Roman"/>
                <w:sz w:val="24"/>
                <w:szCs w:val="24"/>
                <w:vertAlign w:val="baseline"/>
                <w:lang w:val="en-US" w:eastAsia="zh-CN" w:bidi="ar-SA"/>
              </w:rPr>
            </w:pPr>
            <w:r>
              <w:rPr>
                <w:rFonts w:hint="eastAsia" w:ascii="宋体" w:hAnsi="宋体"/>
                <w:sz w:val="24"/>
                <w:szCs w:val="24"/>
                <w:vertAlign w:val="baseline"/>
                <w:lang w:val="en-US" w:eastAsia="zh-CN"/>
              </w:rPr>
              <w:t>序号</w:t>
            </w:r>
          </w:p>
        </w:tc>
        <w:tc>
          <w:tcPr>
            <w:tcW w:w="3817" w:type="dxa"/>
            <w:vAlign w:val="top"/>
          </w:tcPr>
          <w:p>
            <w:pPr>
              <w:widowControl w:val="0"/>
              <w:numPr>
                <w:ilvl w:val="0"/>
                <w:numId w:val="0"/>
              </w:numPr>
              <w:spacing w:line="360" w:lineRule="auto"/>
              <w:ind w:left="0" w:leftChars="0" w:firstLine="0" w:firstLineChars="0"/>
              <w:jc w:val="center"/>
              <w:rPr>
                <w:rFonts w:hint="eastAsia" w:ascii="宋体" w:hAnsi="宋体" w:eastAsia="宋体" w:cs="Times New Roman"/>
                <w:sz w:val="24"/>
                <w:szCs w:val="24"/>
                <w:vertAlign w:val="baseline"/>
                <w:lang w:val="en-US" w:eastAsia="zh-CN" w:bidi="ar-SA"/>
              </w:rPr>
            </w:pPr>
            <w:r>
              <w:rPr>
                <w:rFonts w:hint="eastAsia" w:ascii="宋体" w:hAnsi="宋体"/>
                <w:sz w:val="24"/>
                <w:szCs w:val="24"/>
                <w:vertAlign w:val="baseline"/>
                <w:lang w:val="en-US" w:eastAsia="zh-CN"/>
              </w:rPr>
              <w:t>技术参数种类</w:t>
            </w:r>
          </w:p>
        </w:tc>
        <w:tc>
          <w:tcPr>
            <w:tcW w:w="3417" w:type="dxa"/>
            <w:vAlign w:val="top"/>
          </w:tcPr>
          <w:p>
            <w:pPr>
              <w:widowControl w:val="0"/>
              <w:numPr>
                <w:ilvl w:val="0"/>
                <w:numId w:val="0"/>
              </w:numPr>
              <w:spacing w:line="360" w:lineRule="auto"/>
              <w:ind w:left="0" w:leftChars="0" w:firstLine="0" w:firstLineChars="0"/>
              <w:jc w:val="center"/>
              <w:rPr>
                <w:rFonts w:hint="eastAsia" w:ascii="宋体" w:hAnsi="宋体" w:eastAsia="宋体" w:cs="Times New Roman"/>
                <w:sz w:val="24"/>
                <w:szCs w:val="24"/>
                <w:vertAlign w:val="baseline"/>
                <w:lang w:val="en-US" w:eastAsia="zh-CN" w:bidi="ar-SA"/>
              </w:rPr>
            </w:pPr>
            <w:r>
              <w:rPr>
                <w:rFonts w:hint="eastAsia" w:ascii="宋体" w:hAnsi="宋体"/>
                <w:sz w:val="24"/>
                <w:szCs w:val="24"/>
                <w:vertAlign w:val="baseline"/>
                <w:lang w:val="en-US" w:eastAsia="zh-CN"/>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4" w:type="dxa"/>
            <w:vAlign w:val="top"/>
          </w:tcPr>
          <w:p>
            <w:pPr>
              <w:widowControl w:val="0"/>
              <w:numPr>
                <w:ilvl w:val="0"/>
                <w:numId w:val="0"/>
              </w:numPr>
              <w:spacing w:line="360" w:lineRule="auto"/>
              <w:ind w:left="0" w:leftChars="0" w:firstLine="0" w:firstLineChars="0"/>
              <w:jc w:val="center"/>
              <w:rPr>
                <w:rFonts w:hint="default" w:ascii="宋体" w:hAnsi="宋体"/>
                <w:sz w:val="24"/>
                <w:szCs w:val="24"/>
                <w:vertAlign w:val="baseline"/>
                <w:lang w:val="en-US" w:eastAsia="zh-CN"/>
              </w:rPr>
            </w:pPr>
            <w:r>
              <w:rPr>
                <w:rFonts w:hint="eastAsia" w:ascii="宋体" w:hAnsi="宋体"/>
                <w:sz w:val="24"/>
                <w:szCs w:val="24"/>
                <w:vertAlign w:val="baseline"/>
                <w:lang w:val="en-US" w:eastAsia="zh-CN"/>
              </w:rPr>
              <w:t>1</w:t>
            </w:r>
          </w:p>
        </w:tc>
        <w:tc>
          <w:tcPr>
            <w:tcW w:w="3817" w:type="dxa"/>
            <w:vAlign w:val="top"/>
          </w:tcPr>
          <w:p>
            <w:pPr>
              <w:widowControl w:val="0"/>
              <w:numPr>
                <w:ilvl w:val="0"/>
                <w:numId w:val="0"/>
              </w:numPr>
              <w:spacing w:line="360" w:lineRule="auto"/>
              <w:ind w:left="0" w:leftChars="0" w:firstLine="0" w:firstLineChars="0"/>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w:t>
            </w:r>
            <w:r>
              <w:rPr>
                <w:rFonts w:hint="eastAsia" w:ascii="宋体" w:hAnsi="宋体"/>
                <w:color w:val="000000" w:themeColor="text1"/>
                <w:sz w:val="24"/>
                <w:szCs w:val="24"/>
                <w:vertAlign w:val="baseline"/>
                <w:lang w:val="en-US" w:eastAsia="zh-CN"/>
                <w14:textFill>
                  <w14:solidFill>
                    <w14:schemeClr w14:val="tx1"/>
                  </w14:solidFill>
                </w14:textFill>
              </w:rPr>
              <w:t>灭火器灭火级别和灭火种类</w:t>
            </w:r>
          </w:p>
        </w:tc>
        <w:tc>
          <w:tcPr>
            <w:tcW w:w="3417" w:type="dxa"/>
            <w:vAlign w:val="top"/>
          </w:tcPr>
          <w:p>
            <w:pPr>
              <w:widowControl w:val="0"/>
              <w:numPr>
                <w:ilvl w:val="0"/>
                <w:numId w:val="0"/>
              </w:numPr>
              <w:spacing w:line="360" w:lineRule="auto"/>
              <w:ind w:left="0" w:leftChars="0" w:firstLine="0" w:firstLineChars="0"/>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color w:val="000000" w:themeColor="text1"/>
                <w:sz w:val="24"/>
                <w:szCs w:val="24"/>
                <w:vertAlign w:val="baseline"/>
                <w:lang w:val="en-US" w:eastAsia="zh-CN"/>
                <w14:textFill>
                  <w14:solidFill>
                    <w14:schemeClr w14:val="tx1"/>
                  </w14:solidFill>
                </w14:textFill>
              </w:rPr>
              <w:t>2A  34B  C  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4" w:type="dxa"/>
            <w:vAlign w:val="top"/>
          </w:tcPr>
          <w:p>
            <w:pPr>
              <w:widowControl w:val="0"/>
              <w:numPr>
                <w:ilvl w:val="0"/>
                <w:numId w:val="0"/>
              </w:numPr>
              <w:spacing w:line="360" w:lineRule="auto"/>
              <w:ind w:left="0" w:leftChars="0" w:firstLine="0" w:firstLineChars="0"/>
              <w:jc w:val="center"/>
              <w:rPr>
                <w:rFonts w:hint="default" w:ascii="宋体" w:hAnsi="宋体"/>
                <w:sz w:val="24"/>
                <w:szCs w:val="24"/>
                <w:vertAlign w:val="baseline"/>
                <w:lang w:val="en-US" w:eastAsia="zh-CN"/>
              </w:rPr>
            </w:pPr>
            <w:r>
              <w:rPr>
                <w:rFonts w:hint="eastAsia" w:ascii="宋体" w:hAnsi="宋体"/>
                <w:sz w:val="24"/>
                <w:szCs w:val="24"/>
                <w:vertAlign w:val="baseline"/>
                <w:lang w:val="en-US" w:eastAsia="zh-CN"/>
              </w:rPr>
              <w:t>2</w:t>
            </w:r>
          </w:p>
        </w:tc>
        <w:tc>
          <w:tcPr>
            <w:tcW w:w="3817" w:type="dxa"/>
            <w:vAlign w:val="top"/>
          </w:tcPr>
          <w:p>
            <w:pPr>
              <w:widowControl w:val="0"/>
              <w:numPr>
                <w:ilvl w:val="0"/>
                <w:numId w:val="0"/>
              </w:numPr>
              <w:spacing w:line="360" w:lineRule="auto"/>
              <w:ind w:left="0" w:leftChars="0" w:firstLine="0" w:firstLineChars="0"/>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color w:val="000000" w:themeColor="text1"/>
                <w:sz w:val="24"/>
                <w:szCs w:val="24"/>
                <w:vertAlign w:val="baseline"/>
                <w:lang w:val="en-US" w:eastAsia="zh-CN"/>
                <w14:textFill>
                  <w14:solidFill>
                    <w14:schemeClr w14:val="tx1"/>
                  </w14:solidFill>
                </w14:textFill>
              </w:rPr>
              <w:t>灭火器执行标准</w:t>
            </w:r>
          </w:p>
        </w:tc>
        <w:tc>
          <w:tcPr>
            <w:tcW w:w="3417" w:type="dxa"/>
            <w:vAlign w:val="top"/>
          </w:tcPr>
          <w:p>
            <w:pPr>
              <w:widowControl w:val="0"/>
              <w:numPr>
                <w:ilvl w:val="0"/>
                <w:numId w:val="0"/>
              </w:numPr>
              <w:spacing w:line="360" w:lineRule="auto"/>
              <w:ind w:left="0" w:leftChars="0" w:firstLine="0" w:firstLineChars="0"/>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color w:val="000000" w:themeColor="text1"/>
                <w:sz w:val="24"/>
                <w:szCs w:val="24"/>
                <w:vertAlign w:val="baseline"/>
                <w:lang w:val="en-US" w:eastAsia="zh-CN"/>
                <w14:textFill>
                  <w14:solidFill>
                    <w14:schemeClr w14:val="tx1"/>
                  </w14:solidFill>
                </w14:textFill>
              </w:rPr>
              <w:t>GB4351.1-2005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4" w:type="dxa"/>
            <w:vAlign w:val="top"/>
          </w:tcPr>
          <w:p>
            <w:pPr>
              <w:widowControl w:val="0"/>
              <w:numPr>
                <w:ilvl w:val="0"/>
                <w:numId w:val="0"/>
              </w:numPr>
              <w:spacing w:line="360" w:lineRule="auto"/>
              <w:ind w:left="0" w:leftChars="0" w:firstLine="0" w:firstLineChars="0"/>
              <w:jc w:val="center"/>
              <w:rPr>
                <w:rFonts w:hint="default" w:ascii="宋体" w:hAnsi="宋体"/>
                <w:sz w:val="24"/>
                <w:szCs w:val="24"/>
                <w:vertAlign w:val="baseline"/>
                <w:lang w:val="en-US" w:eastAsia="zh-CN"/>
              </w:rPr>
            </w:pPr>
            <w:r>
              <w:rPr>
                <w:rFonts w:hint="eastAsia" w:ascii="宋体" w:hAnsi="宋体"/>
                <w:sz w:val="24"/>
                <w:szCs w:val="24"/>
                <w:vertAlign w:val="baseline"/>
                <w:lang w:val="en-US" w:eastAsia="zh-CN"/>
              </w:rPr>
              <w:t>3</w:t>
            </w:r>
          </w:p>
        </w:tc>
        <w:tc>
          <w:tcPr>
            <w:tcW w:w="3817" w:type="dxa"/>
            <w:vAlign w:val="top"/>
          </w:tcPr>
          <w:p>
            <w:pPr>
              <w:widowControl w:val="0"/>
              <w:numPr>
                <w:ilvl w:val="0"/>
                <w:numId w:val="0"/>
              </w:numPr>
              <w:spacing w:line="360" w:lineRule="auto"/>
              <w:ind w:left="0" w:leftChars="0" w:firstLine="0" w:firstLineChars="0"/>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color w:val="000000" w:themeColor="text1"/>
                <w:sz w:val="24"/>
                <w:szCs w:val="24"/>
                <w:vertAlign w:val="baseline"/>
                <w:lang w:val="en-US" w:eastAsia="zh-CN"/>
                <w14:textFill>
                  <w14:solidFill>
                    <w14:schemeClr w14:val="tx1"/>
                  </w14:solidFill>
                </w14:textFill>
              </w:rPr>
              <w:t>灭火器驱动气体名称和数量或压力</w:t>
            </w:r>
          </w:p>
        </w:tc>
        <w:tc>
          <w:tcPr>
            <w:tcW w:w="3417" w:type="dxa"/>
            <w:vAlign w:val="top"/>
          </w:tcPr>
          <w:p>
            <w:pPr>
              <w:widowControl w:val="0"/>
              <w:numPr>
                <w:ilvl w:val="0"/>
                <w:numId w:val="0"/>
              </w:numPr>
              <w:spacing w:line="360" w:lineRule="auto"/>
              <w:ind w:left="0" w:leftChars="0" w:firstLine="0" w:firstLineChars="0"/>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color w:val="000000" w:themeColor="text1"/>
                <w:sz w:val="24"/>
                <w:szCs w:val="24"/>
                <w:vertAlign w:val="baseline"/>
                <w:lang w:val="en-US" w:eastAsia="zh-CN"/>
                <w14:textFill>
                  <w14:solidFill>
                    <w14:schemeClr w14:val="tx1"/>
                  </w14:solidFill>
                </w14:textFill>
              </w:rPr>
              <w:t>氮气（99.%）， 1.2MPa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4" w:type="dxa"/>
            <w:vAlign w:val="top"/>
          </w:tcPr>
          <w:p>
            <w:pPr>
              <w:widowControl w:val="0"/>
              <w:numPr>
                <w:ilvl w:val="0"/>
                <w:numId w:val="0"/>
              </w:numPr>
              <w:spacing w:line="360" w:lineRule="auto"/>
              <w:ind w:left="0" w:leftChars="0" w:firstLine="0" w:firstLineChars="0"/>
              <w:jc w:val="center"/>
              <w:rPr>
                <w:rFonts w:hint="default" w:ascii="宋体" w:hAnsi="宋体"/>
                <w:sz w:val="24"/>
                <w:szCs w:val="24"/>
                <w:vertAlign w:val="baseline"/>
                <w:lang w:val="en-US" w:eastAsia="zh-CN"/>
              </w:rPr>
            </w:pPr>
            <w:r>
              <w:rPr>
                <w:rFonts w:hint="eastAsia" w:ascii="宋体" w:hAnsi="宋体"/>
                <w:sz w:val="24"/>
                <w:szCs w:val="24"/>
                <w:vertAlign w:val="baseline"/>
                <w:lang w:val="en-US" w:eastAsia="zh-CN"/>
              </w:rPr>
              <w:t>4</w:t>
            </w:r>
          </w:p>
        </w:tc>
        <w:tc>
          <w:tcPr>
            <w:tcW w:w="3817" w:type="dxa"/>
            <w:vAlign w:val="top"/>
          </w:tcPr>
          <w:p>
            <w:pPr>
              <w:widowControl w:val="0"/>
              <w:numPr>
                <w:ilvl w:val="0"/>
                <w:numId w:val="0"/>
              </w:numPr>
              <w:spacing w:line="360" w:lineRule="auto"/>
              <w:ind w:left="0" w:leftChars="0" w:firstLine="0" w:firstLineChars="0"/>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color w:val="000000" w:themeColor="text1"/>
                <w:sz w:val="24"/>
                <w:szCs w:val="24"/>
                <w:vertAlign w:val="baseline"/>
                <w:lang w:val="en-US" w:eastAsia="zh-CN"/>
                <w14:textFill>
                  <w14:solidFill>
                    <w14:schemeClr w14:val="tx1"/>
                  </w14:solidFill>
                </w14:textFill>
              </w:rPr>
              <w:t>灭火器水压试验压力</w:t>
            </w:r>
          </w:p>
        </w:tc>
        <w:tc>
          <w:tcPr>
            <w:tcW w:w="3417" w:type="dxa"/>
            <w:vAlign w:val="top"/>
          </w:tcPr>
          <w:p>
            <w:pPr>
              <w:widowControl w:val="0"/>
              <w:numPr>
                <w:ilvl w:val="0"/>
                <w:numId w:val="0"/>
              </w:numPr>
              <w:spacing w:line="360" w:lineRule="auto"/>
              <w:ind w:left="0" w:leftChars="0" w:firstLine="0" w:firstLineChars="0"/>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color w:val="000000" w:themeColor="text1"/>
                <w:sz w:val="24"/>
                <w:szCs w:val="24"/>
                <w:vertAlign w:val="baseline"/>
                <w:lang w:val="en-US" w:eastAsia="zh-CN"/>
                <w14:textFill>
                  <w14:solidFill>
                    <w14:schemeClr w14:val="tx1"/>
                  </w14:solidFill>
                </w14:textFill>
              </w:rPr>
              <w:t>2.1MPa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4" w:type="dxa"/>
          </w:tcPr>
          <w:p>
            <w:pPr>
              <w:widowControl w:val="0"/>
              <w:numPr>
                <w:ilvl w:val="0"/>
                <w:numId w:val="0"/>
              </w:numPr>
              <w:spacing w:line="360" w:lineRule="auto"/>
              <w:jc w:val="center"/>
              <w:rPr>
                <w:rFonts w:hint="default" w:ascii="宋体" w:hAnsi="宋体"/>
                <w:sz w:val="24"/>
                <w:szCs w:val="24"/>
                <w:vertAlign w:val="baseline"/>
                <w:lang w:val="en-US" w:eastAsia="zh-CN"/>
              </w:rPr>
            </w:pPr>
            <w:r>
              <w:rPr>
                <w:rFonts w:hint="eastAsia" w:ascii="宋体" w:hAnsi="宋体"/>
                <w:sz w:val="24"/>
                <w:szCs w:val="24"/>
                <w:vertAlign w:val="baseline"/>
                <w:lang w:val="en-US" w:eastAsia="zh-CN"/>
              </w:rPr>
              <w:t>5</w:t>
            </w:r>
          </w:p>
        </w:tc>
        <w:tc>
          <w:tcPr>
            <w:tcW w:w="3817" w:type="dxa"/>
          </w:tcPr>
          <w:p>
            <w:pPr>
              <w:widowControl w:val="0"/>
              <w:numPr>
                <w:ilvl w:val="0"/>
                <w:numId w:val="0"/>
              </w:numPr>
              <w:spacing w:line="360" w:lineRule="auto"/>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w:t>
            </w:r>
            <w:r>
              <w:rPr>
                <w:rFonts w:hint="eastAsia" w:ascii="宋体" w:hAnsi="宋体"/>
                <w:color w:val="000000" w:themeColor="text1"/>
                <w:sz w:val="24"/>
                <w:szCs w:val="24"/>
                <w:vertAlign w:val="baseline"/>
                <w:lang w:val="en-US" w:eastAsia="zh-CN"/>
                <w14:textFill>
                  <w14:solidFill>
                    <w14:schemeClr w14:val="tx1"/>
                  </w14:solidFill>
                </w14:textFill>
              </w:rPr>
              <w:t>灭火器使用温度</w:t>
            </w:r>
          </w:p>
        </w:tc>
        <w:tc>
          <w:tcPr>
            <w:tcW w:w="3417" w:type="dxa"/>
          </w:tcPr>
          <w:p>
            <w:pPr>
              <w:widowControl w:val="0"/>
              <w:numPr>
                <w:ilvl w:val="0"/>
                <w:numId w:val="0"/>
              </w:numPr>
              <w:spacing w:line="360" w:lineRule="auto"/>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color w:val="000000" w:themeColor="text1"/>
                <w:sz w:val="24"/>
                <w:szCs w:val="24"/>
                <w:vertAlign w:val="baseline"/>
                <w:lang w:val="en-US" w:eastAsia="zh-CN"/>
                <w14:textFill>
                  <w14:solidFill>
                    <w14:schemeClr w14:val="tx1"/>
                  </w14:solidFill>
                </w14:textFill>
              </w:rPr>
              <w:t>-20C°</w:t>
            </w:r>
            <w:r>
              <w:rPr>
                <w:rFonts w:hint="eastAsia" w:ascii="宋体" w:hAnsi="宋体" w:eastAsia="宋体" w:cs="宋体"/>
                <w:color w:val="000000" w:themeColor="text1"/>
                <w:sz w:val="24"/>
                <w:szCs w:val="24"/>
                <w:vertAlign w:val="baseline"/>
                <w:lang w:val="en-US" w:eastAsia="zh-CN"/>
                <w14:textFill>
                  <w14:solidFill>
                    <w14:schemeClr w14:val="tx1"/>
                  </w14:solidFill>
                </w14:textFill>
              </w:rPr>
              <w:t>～</w:t>
            </w:r>
            <w:r>
              <w:rPr>
                <w:rFonts w:hint="eastAsia" w:ascii="宋体" w:hAnsi="宋体"/>
                <w:color w:val="000000" w:themeColor="text1"/>
                <w:sz w:val="24"/>
                <w:szCs w:val="24"/>
                <w:vertAlign w:val="baseline"/>
                <w:lang w:val="en-US" w:eastAsia="zh-CN"/>
                <w14:textFill>
                  <w14:solidFill>
                    <w14:schemeClr w14:val="tx1"/>
                  </w14:solidFill>
                </w14:textFill>
              </w:rPr>
              <w:t>+55C°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4" w:type="dxa"/>
          </w:tcPr>
          <w:p>
            <w:pPr>
              <w:widowControl w:val="0"/>
              <w:numPr>
                <w:ilvl w:val="0"/>
                <w:numId w:val="0"/>
              </w:numPr>
              <w:spacing w:line="360" w:lineRule="auto"/>
              <w:jc w:val="center"/>
              <w:rPr>
                <w:rFonts w:hint="default" w:ascii="宋体" w:hAnsi="宋体"/>
                <w:sz w:val="24"/>
                <w:szCs w:val="24"/>
                <w:vertAlign w:val="baseline"/>
                <w:lang w:val="en-US" w:eastAsia="zh-CN"/>
              </w:rPr>
            </w:pPr>
            <w:r>
              <w:rPr>
                <w:rFonts w:hint="eastAsia" w:ascii="宋体" w:hAnsi="宋体"/>
                <w:sz w:val="24"/>
                <w:szCs w:val="24"/>
                <w:vertAlign w:val="baseline"/>
                <w:lang w:val="en-US" w:eastAsia="zh-CN"/>
              </w:rPr>
              <w:t>6</w:t>
            </w:r>
          </w:p>
        </w:tc>
        <w:tc>
          <w:tcPr>
            <w:tcW w:w="3817" w:type="dxa"/>
          </w:tcPr>
          <w:p>
            <w:pPr>
              <w:widowControl w:val="0"/>
              <w:numPr>
                <w:ilvl w:val="0"/>
                <w:numId w:val="0"/>
              </w:numPr>
              <w:spacing w:line="360" w:lineRule="auto"/>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w:t>
            </w:r>
            <w:r>
              <w:rPr>
                <w:rFonts w:hint="eastAsia" w:ascii="宋体" w:hAnsi="宋体"/>
                <w:color w:val="000000" w:themeColor="text1"/>
                <w:sz w:val="24"/>
                <w:szCs w:val="24"/>
                <w:vertAlign w:val="baseline"/>
                <w:lang w:val="en-US" w:eastAsia="zh-CN"/>
                <w14:textFill>
                  <w14:solidFill>
                    <w14:schemeClr w14:val="tx1"/>
                  </w14:solidFill>
                </w14:textFill>
              </w:rPr>
              <w:t>干粉灭火剂主成分含量</w:t>
            </w:r>
          </w:p>
        </w:tc>
        <w:tc>
          <w:tcPr>
            <w:tcW w:w="3417" w:type="dxa"/>
          </w:tcPr>
          <w:p>
            <w:pPr>
              <w:widowControl w:val="0"/>
              <w:numPr>
                <w:ilvl w:val="0"/>
                <w:numId w:val="0"/>
              </w:numPr>
              <w:spacing w:line="360" w:lineRule="auto"/>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color w:val="000000" w:themeColor="text1"/>
                <w:sz w:val="24"/>
                <w:szCs w:val="24"/>
                <w:vertAlign w:val="baseline"/>
                <w:lang w:val="en-US" w:eastAsia="zh-CN"/>
                <w14:textFill>
                  <w14:solidFill>
                    <w14:schemeClr w14:val="tx1"/>
                  </w14:solidFill>
                </w14:textFill>
              </w:rPr>
              <w:t>磷酸二氢铵52%  硫酸铵26%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4" w:type="dxa"/>
          </w:tcPr>
          <w:p>
            <w:pPr>
              <w:widowControl w:val="0"/>
              <w:numPr>
                <w:ilvl w:val="0"/>
                <w:numId w:val="0"/>
              </w:numPr>
              <w:spacing w:line="360" w:lineRule="auto"/>
              <w:jc w:val="center"/>
              <w:rPr>
                <w:rFonts w:hint="default" w:ascii="宋体" w:hAnsi="宋体"/>
                <w:sz w:val="24"/>
                <w:szCs w:val="24"/>
                <w:vertAlign w:val="baseline"/>
                <w:lang w:val="en-US" w:eastAsia="zh-CN"/>
              </w:rPr>
            </w:pPr>
            <w:r>
              <w:rPr>
                <w:rFonts w:hint="eastAsia" w:ascii="宋体" w:hAnsi="宋体"/>
                <w:sz w:val="24"/>
                <w:szCs w:val="24"/>
                <w:vertAlign w:val="baseline"/>
                <w:lang w:val="en-US" w:eastAsia="zh-CN"/>
              </w:rPr>
              <w:t>7</w:t>
            </w:r>
          </w:p>
        </w:tc>
        <w:tc>
          <w:tcPr>
            <w:tcW w:w="3817" w:type="dxa"/>
          </w:tcPr>
          <w:p>
            <w:pPr>
              <w:widowControl w:val="0"/>
              <w:numPr>
                <w:ilvl w:val="0"/>
                <w:numId w:val="0"/>
              </w:numPr>
              <w:spacing w:line="360" w:lineRule="auto"/>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w:t>
            </w:r>
            <w:r>
              <w:rPr>
                <w:rFonts w:hint="eastAsia" w:ascii="宋体" w:hAnsi="宋体"/>
                <w:color w:val="000000" w:themeColor="text1"/>
                <w:sz w:val="24"/>
                <w:szCs w:val="24"/>
                <w:vertAlign w:val="baseline"/>
                <w:lang w:val="en-US" w:eastAsia="zh-CN"/>
                <w14:textFill>
                  <w14:solidFill>
                    <w14:schemeClr w14:val="tx1"/>
                  </w14:solidFill>
                </w14:textFill>
              </w:rPr>
              <w:t>筒体：规格型号</w:t>
            </w:r>
          </w:p>
        </w:tc>
        <w:tc>
          <w:tcPr>
            <w:tcW w:w="3417" w:type="dxa"/>
          </w:tcPr>
          <w:p>
            <w:pPr>
              <w:widowControl w:val="0"/>
              <w:numPr>
                <w:ilvl w:val="0"/>
                <w:numId w:val="0"/>
              </w:numPr>
              <w:spacing w:line="360" w:lineRule="auto"/>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color w:val="000000" w:themeColor="text1"/>
                <w:sz w:val="24"/>
                <w:szCs w:val="24"/>
                <w:vertAlign w:val="baseline"/>
                <w:lang w:val="en-US" w:eastAsia="zh-CN"/>
                <w14:textFill>
                  <w14:solidFill>
                    <w14:schemeClr w14:val="tx1"/>
                  </w14:solidFill>
                </w14:textFill>
              </w:rPr>
              <w:t>MFZ/ABC3-01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4" w:type="dxa"/>
          </w:tcPr>
          <w:p>
            <w:pPr>
              <w:widowControl w:val="0"/>
              <w:numPr>
                <w:ilvl w:val="0"/>
                <w:numId w:val="0"/>
              </w:numPr>
              <w:spacing w:line="360" w:lineRule="auto"/>
              <w:jc w:val="center"/>
              <w:rPr>
                <w:rFonts w:hint="default" w:ascii="宋体" w:hAnsi="宋体"/>
                <w:sz w:val="24"/>
                <w:szCs w:val="24"/>
                <w:vertAlign w:val="baseline"/>
                <w:lang w:val="en-US" w:eastAsia="zh-CN"/>
              </w:rPr>
            </w:pPr>
            <w:r>
              <w:rPr>
                <w:rFonts w:hint="eastAsia" w:ascii="宋体" w:hAnsi="宋体"/>
                <w:sz w:val="24"/>
                <w:szCs w:val="24"/>
                <w:vertAlign w:val="baseline"/>
                <w:lang w:val="en-US" w:eastAsia="zh-CN"/>
              </w:rPr>
              <w:t>8</w:t>
            </w:r>
          </w:p>
        </w:tc>
        <w:tc>
          <w:tcPr>
            <w:tcW w:w="3817" w:type="dxa"/>
          </w:tcPr>
          <w:p>
            <w:pPr>
              <w:widowControl w:val="0"/>
              <w:numPr>
                <w:ilvl w:val="0"/>
                <w:numId w:val="0"/>
              </w:numPr>
              <w:spacing w:line="360" w:lineRule="auto"/>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w:t>
            </w:r>
            <w:r>
              <w:rPr>
                <w:rFonts w:hint="eastAsia" w:ascii="宋体" w:hAnsi="宋体"/>
                <w:color w:val="000000" w:themeColor="text1"/>
                <w:sz w:val="24"/>
                <w:szCs w:val="24"/>
                <w:vertAlign w:val="baseline"/>
                <w:lang w:val="en-US" w:eastAsia="zh-CN"/>
                <w14:textFill>
                  <w14:solidFill>
                    <w14:schemeClr w14:val="tx1"/>
                  </w14:solidFill>
                </w14:textFill>
              </w:rPr>
              <w:t>器头：规格型号</w:t>
            </w:r>
          </w:p>
        </w:tc>
        <w:tc>
          <w:tcPr>
            <w:tcW w:w="3417" w:type="dxa"/>
          </w:tcPr>
          <w:p>
            <w:pPr>
              <w:widowControl w:val="0"/>
              <w:numPr>
                <w:ilvl w:val="0"/>
                <w:numId w:val="0"/>
              </w:numPr>
              <w:spacing w:line="360" w:lineRule="auto"/>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color w:val="000000" w:themeColor="text1"/>
                <w:sz w:val="24"/>
                <w:szCs w:val="24"/>
                <w:vertAlign w:val="baseline"/>
                <w:lang w:val="en-US" w:eastAsia="zh-CN"/>
                <w14:textFill>
                  <w14:solidFill>
                    <w14:schemeClr w14:val="tx1"/>
                  </w14:solidFill>
                </w14:textFill>
              </w:rPr>
              <w:t>FTZ/90-M30</w:t>
            </w:r>
            <w:r>
              <w:rPr>
                <w:rFonts w:hint="default" w:ascii="Arial" w:hAnsi="Arial" w:cs="Arial"/>
                <w:color w:val="000000" w:themeColor="text1"/>
                <w:sz w:val="24"/>
                <w:szCs w:val="24"/>
                <w:vertAlign w:val="baseline"/>
                <w:lang w:val="en-US" w:eastAsia="zh-CN"/>
                <w14:textFill>
                  <w14:solidFill>
                    <w14:schemeClr w14:val="tx1"/>
                  </w14:solidFill>
                </w14:textFill>
              </w:rPr>
              <w:t>×</w:t>
            </w:r>
            <w:r>
              <w:rPr>
                <w:rFonts w:hint="eastAsia" w:ascii="宋体" w:hAnsi="宋体"/>
                <w:color w:val="000000" w:themeColor="text1"/>
                <w:sz w:val="24"/>
                <w:szCs w:val="24"/>
                <w:vertAlign w:val="baseline"/>
                <w:lang w:val="en-US" w:eastAsia="zh-CN"/>
                <w14:textFill>
                  <w14:solidFill>
                    <w14:schemeClr w14:val="tx1"/>
                  </w14:solidFill>
                </w14:textFill>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4" w:type="dxa"/>
          </w:tcPr>
          <w:p>
            <w:pPr>
              <w:widowControl w:val="0"/>
              <w:numPr>
                <w:ilvl w:val="0"/>
                <w:numId w:val="0"/>
              </w:numPr>
              <w:spacing w:line="360" w:lineRule="auto"/>
              <w:jc w:val="center"/>
              <w:rPr>
                <w:rFonts w:hint="default" w:ascii="宋体" w:hAnsi="宋体"/>
                <w:sz w:val="24"/>
                <w:szCs w:val="24"/>
                <w:vertAlign w:val="baseline"/>
                <w:lang w:val="en-US" w:eastAsia="zh-CN"/>
              </w:rPr>
            </w:pPr>
            <w:r>
              <w:rPr>
                <w:rFonts w:hint="eastAsia" w:ascii="宋体" w:hAnsi="宋体"/>
                <w:sz w:val="24"/>
                <w:szCs w:val="24"/>
                <w:vertAlign w:val="baseline"/>
                <w:lang w:val="en-US" w:eastAsia="zh-CN"/>
              </w:rPr>
              <w:t>9</w:t>
            </w:r>
          </w:p>
        </w:tc>
        <w:tc>
          <w:tcPr>
            <w:tcW w:w="3817" w:type="dxa"/>
          </w:tcPr>
          <w:p>
            <w:pPr>
              <w:widowControl w:val="0"/>
              <w:numPr>
                <w:ilvl w:val="0"/>
                <w:numId w:val="0"/>
              </w:numPr>
              <w:spacing w:line="360" w:lineRule="auto"/>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w:t>
            </w:r>
            <w:r>
              <w:rPr>
                <w:rFonts w:hint="eastAsia" w:ascii="宋体" w:hAnsi="宋体"/>
                <w:color w:val="000000" w:themeColor="text1"/>
                <w:sz w:val="24"/>
                <w:szCs w:val="24"/>
                <w:vertAlign w:val="baseline"/>
                <w:lang w:val="en-US" w:eastAsia="zh-CN"/>
                <w14:textFill>
                  <w14:solidFill>
                    <w14:schemeClr w14:val="tx1"/>
                  </w14:solidFill>
                </w14:textFill>
              </w:rPr>
              <w:t>筒体壁厚</w:t>
            </w:r>
          </w:p>
        </w:tc>
        <w:tc>
          <w:tcPr>
            <w:tcW w:w="3417" w:type="dxa"/>
          </w:tcPr>
          <w:p>
            <w:pPr>
              <w:widowControl w:val="0"/>
              <w:numPr>
                <w:ilvl w:val="0"/>
                <w:numId w:val="0"/>
              </w:numPr>
              <w:spacing w:line="360" w:lineRule="auto"/>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color w:val="000000" w:themeColor="text1"/>
                <w:sz w:val="24"/>
                <w:szCs w:val="24"/>
                <w:vertAlign w:val="baseline"/>
                <w:lang w:val="en-US" w:eastAsia="zh-CN"/>
                <w14:textFill>
                  <w14:solidFill>
                    <w14:schemeClr w14:val="tx1"/>
                  </w14:solidFill>
                </w14:textFill>
              </w:rPr>
              <w:t>1.20-1.25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4" w:type="dxa"/>
          </w:tcPr>
          <w:p>
            <w:pPr>
              <w:widowControl w:val="0"/>
              <w:numPr>
                <w:ilvl w:val="0"/>
                <w:numId w:val="0"/>
              </w:numPr>
              <w:spacing w:line="360" w:lineRule="auto"/>
              <w:jc w:val="center"/>
              <w:rPr>
                <w:rFonts w:hint="default" w:ascii="宋体" w:hAnsi="宋体"/>
                <w:sz w:val="24"/>
                <w:szCs w:val="24"/>
                <w:vertAlign w:val="baseline"/>
                <w:lang w:val="en-US" w:eastAsia="zh-CN"/>
              </w:rPr>
            </w:pPr>
            <w:r>
              <w:rPr>
                <w:rFonts w:hint="eastAsia" w:ascii="宋体" w:hAnsi="宋体"/>
                <w:sz w:val="24"/>
                <w:szCs w:val="24"/>
                <w:vertAlign w:val="baseline"/>
                <w:lang w:val="en-US" w:eastAsia="zh-CN"/>
              </w:rPr>
              <w:t>10</w:t>
            </w:r>
          </w:p>
        </w:tc>
        <w:tc>
          <w:tcPr>
            <w:tcW w:w="3817" w:type="dxa"/>
          </w:tcPr>
          <w:p>
            <w:pPr>
              <w:widowControl w:val="0"/>
              <w:numPr>
                <w:ilvl w:val="0"/>
                <w:numId w:val="0"/>
              </w:numPr>
              <w:spacing w:line="360" w:lineRule="auto"/>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w:t>
            </w:r>
            <w:r>
              <w:rPr>
                <w:rFonts w:hint="eastAsia" w:ascii="宋体" w:hAnsi="宋体"/>
                <w:color w:val="000000" w:themeColor="text1"/>
                <w:sz w:val="24"/>
                <w:szCs w:val="24"/>
                <w:vertAlign w:val="baseline"/>
                <w:lang w:val="en-US" w:eastAsia="zh-CN"/>
                <w14:textFill>
                  <w14:solidFill>
                    <w14:schemeClr w14:val="tx1"/>
                  </w14:solidFill>
                </w14:textFill>
              </w:rPr>
              <w:t>筒体容积膨胀量时长</w:t>
            </w:r>
          </w:p>
        </w:tc>
        <w:tc>
          <w:tcPr>
            <w:tcW w:w="3417" w:type="dxa"/>
          </w:tcPr>
          <w:p>
            <w:pPr>
              <w:widowControl w:val="0"/>
              <w:numPr>
                <w:ilvl w:val="0"/>
                <w:numId w:val="0"/>
              </w:numPr>
              <w:spacing w:line="360" w:lineRule="auto"/>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color w:val="000000" w:themeColor="text1"/>
                <w:sz w:val="24"/>
                <w:szCs w:val="24"/>
                <w:vertAlign w:val="baseline"/>
                <w:lang w:val="en-US" w:eastAsia="zh-CN"/>
                <w14:textFill>
                  <w14:solidFill>
                    <w14:schemeClr w14:val="tx1"/>
                  </w14:solidFill>
                </w14:textFill>
              </w:rPr>
              <w:t>30.6-31.5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4" w:type="dxa"/>
          </w:tcPr>
          <w:p>
            <w:pPr>
              <w:widowControl w:val="0"/>
              <w:numPr>
                <w:ilvl w:val="0"/>
                <w:numId w:val="0"/>
              </w:numPr>
              <w:spacing w:line="360" w:lineRule="auto"/>
              <w:jc w:val="center"/>
              <w:rPr>
                <w:rFonts w:hint="default" w:ascii="宋体" w:hAnsi="宋体"/>
                <w:sz w:val="24"/>
                <w:szCs w:val="24"/>
                <w:vertAlign w:val="baseline"/>
                <w:lang w:val="en-US" w:eastAsia="zh-CN"/>
              </w:rPr>
            </w:pPr>
            <w:r>
              <w:rPr>
                <w:rFonts w:hint="eastAsia" w:ascii="宋体" w:hAnsi="宋体"/>
                <w:sz w:val="24"/>
                <w:szCs w:val="24"/>
                <w:vertAlign w:val="baseline"/>
                <w:lang w:val="en-US" w:eastAsia="zh-CN"/>
              </w:rPr>
              <w:t>11</w:t>
            </w:r>
          </w:p>
        </w:tc>
        <w:tc>
          <w:tcPr>
            <w:tcW w:w="3817" w:type="dxa"/>
          </w:tcPr>
          <w:p>
            <w:pPr>
              <w:widowControl w:val="0"/>
              <w:numPr>
                <w:ilvl w:val="0"/>
                <w:numId w:val="0"/>
              </w:numPr>
              <w:spacing w:line="360" w:lineRule="auto"/>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w:t>
            </w:r>
            <w:r>
              <w:rPr>
                <w:rFonts w:hint="eastAsia" w:ascii="宋体" w:hAnsi="宋体"/>
                <w:color w:val="000000" w:themeColor="text1"/>
                <w:sz w:val="24"/>
                <w:szCs w:val="24"/>
                <w:vertAlign w:val="baseline"/>
                <w:lang w:val="en-US" w:eastAsia="zh-CN"/>
                <w14:textFill>
                  <w14:solidFill>
                    <w14:schemeClr w14:val="tx1"/>
                  </w14:solidFill>
                </w14:textFill>
              </w:rPr>
              <w:t>灭火剂主成分和含量磷酸二氢铵</w:t>
            </w:r>
          </w:p>
        </w:tc>
        <w:tc>
          <w:tcPr>
            <w:tcW w:w="3417" w:type="dxa"/>
          </w:tcPr>
          <w:p>
            <w:pPr>
              <w:widowControl w:val="0"/>
              <w:numPr>
                <w:ilvl w:val="0"/>
                <w:numId w:val="0"/>
              </w:numPr>
              <w:spacing w:line="360" w:lineRule="auto"/>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color w:val="000000" w:themeColor="text1"/>
                <w:sz w:val="24"/>
                <w:szCs w:val="24"/>
                <w:vertAlign w:val="baseline"/>
                <w:lang w:val="en-US" w:eastAsia="zh-CN"/>
                <w14:textFill>
                  <w14:solidFill>
                    <w14:schemeClr w14:val="tx1"/>
                  </w14:solidFill>
                </w14:textFill>
              </w:rPr>
              <w:t>50.5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4" w:type="dxa"/>
          </w:tcPr>
          <w:p>
            <w:pPr>
              <w:widowControl w:val="0"/>
              <w:numPr>
                <w:ilvl w:val="0"/>
                <w:numId w:val="0"/>
              </w:numPr>
              <w:spacing w:line="360" w:lineRule="auto"/>
              <w:jc w:val="center"/>
              <w:rPr>
                <w:rFonts w:hint="default" w:ascii="宋体" w:hAnsi="宋体"/>
                <w:sz w:val="24"/>
                <w:szCs w:val="24"/>
                <w:vertAlign w:val="baseline"/>
                <w:lang w:val="en-US" w:eastAsia="zh-CN"/>
              </w:rPr>
            </w:pPr>
            <w:r>
              <w:rPr>
                <w:rFonts w:hint="eastAsia" w:ascii="宋体" w:hAnsi="宋体"/>
                <w:sz w:val="24"/>
                <w:szCs w:val="24"/>
                <w:vertAlign w:val="baseline"/>
                <w:lang w:val="en-US" w:eastAsia="zh-CN"/>
              </w:rPr>
              <w:t>12</w:t>
            </w:r>
          </w:p>
        </w:tc>
        <w:tc>
          <w:tcPr>
            <w:tcW w:w="3817" w:type="dxa"/>
          </w:tcPr>
          <w:p>
            <w:pPr>
              <w:widowControl w:val="0"/>
              <w:numPr>
                <w:ilvl w:val="0"/>
                <w:numId w:val="0"/>
              </w:numPr>
              <w:spacing w:line="360" w:lineRule="auto"/>
              <w:jc w:val="center"/>
              <w:rPr>
                <w:rFonts w:hint="eastAsia" w:ascii="宋体" w:hAnsi="宋体"/>
                <w:color w:val="000000" w:themeColor="text1"/>
                <w:sz w:val="24"/>
                <w:szCs w:val="24"/>
                <w:vertAlign w:val="baseline"/>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w:t>
            </w:r>
            <w:r>
              <w:rPr>
                <w:rFonts w:hint="eastAsia" w:ascii="宋体" w:hAnsi="宋体"/>
                <w:color w:val="000000" w:themeColor="text1"/>
                <w:sz w:val="24"/>
                <w:szCs w:val="24"/>
                <w:vertAlign w:val="baseline"/>
                <w:lang w:val="en-US" w:eastAsia="zh-CN"/>
                <w14:textFill>
                  <w14:solidFill>
                    <w14:schemeClr w14:val="tx1"/>
                  </w14:solidFill>
                </w14:textFill>
              </w:rPr>
              <w:t>灭火剂主成分和含量硫酸铵</w:t>
            </w:r>
          </w:p>
        </w:tc>
        <w:tc>
          <w:tcPr>
            <w:tcW w:w="3417" w:type="dxa"/>
          </w:tcPr>
          <w:p>
            <w:pPr>
              <w:widowControl w:val="0"/>
              <w:numPr>
                <w:ilvl w:val="0"/>
                <w:numId w:val="0"/>
              </w:numPr>
              <w:spacing w:line="360" w:lineRule="auto"/>
              <w:jc w:val="center"/>
              <w:rPr>
                <w:rFonts w:hint="default" w:ascii="宋体" w:hAnsi="宋体"/>
                <w:color w:val="000000" w:themeColor="text1"/>
                <w:sz w:val="24"/>
                <w:szCs w:val="24"/>
                <w:vertAlign w:val="baseline"/>
                <w:lang w:val="en-US" w:eastAsia="zh-CN"/>
                <w14:textFill>
                  <w14:solidFill>
                    <w14:schemeClr w14:val="tx1"/>
                  </w14:solidFill>
                </w14:textFill>
              </w:rPr>
            </w:pPr>
            <w:r>
              <w:rPr>
                <w:rFonts w:hint="eastAsia" w:ascii="宋体" w:hAnsi="宋体"/>
                <w:color w:val="000000" w:themeColor="text1"/>
                <w:sz w:val="24"/>
                <w:szCs w:val="24"/>
                <w:vertAlign w:val="baseline"/>
                <w:lang w:val="en-US" w:eastAsia="zh-CN"/>
                <w14:textFill>
                  <w14:solidFill>
                    <w14:schemeClr w14:val="tx1"/>
                  </w14:solidFill>
                </w14:textFill>
              </w:rPr>
              <w:t>25.2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4" w:type="dxa"/>
          </w:tcPr>
          <w:p>
            <w:pPr>
              <w:widowControl w:val="0"/>
              <w:numPr>
                <w:ilvl w:val="0"/>
                <w:numId w:val="0"/>
              </w:numPr>
              <w:spacing w:line="360" w:lineRule="auto"/>
              <w:jc w:val="center"/>
              <w:rPr>
                <w:rFonts w:hint="default" w:ascii="宋体" w:hAnsi="宋体"/>
                <w:sz w:val="24"/>
                <w:szCs w:val="24"/>
                <w:vertAlign w:val="baseline"/>
                <w:lang w:val="en-US" w:eastAsia="zh-CN"/>
              </w:rPr>
            </w:pPr>
            <w:r>
              <w:rPr>
                <w:rFonts w:hint="eastAsia" w:ascii="宋体" w:hAnsi="宋体"/>
                <w:sz w:val="24"/>
                <w:szCs w:val="24"/>
                <w:vertAlign w:val="baseline"/>
                <w:lang w:val="en-US" w:eastAsia="zh-CN"/>
              </w:rPr>
              <w:t>13</w:t>
            </w:r>
          </w:p>
        </w:tc>
        <w:tc>
          <w:tcPr>
            <w:tcW w:w="3817" w:type="dxa"/>
          </w:tcPr>
          <w:p>
            <w:pPr>
              <w:widowControl w:val="0"/>
              <w:numPr>
                <w:ilvl w:val="0"/>
                <w:numId w:val="0"/>
              </w:numPr>
              <w:spacing w:line="360" w:lineRule="auto"/>
              <w:jc w:val="center"/>
              <w:rPr>
                <w:rFonts w:hint="default" w:ascii="宋体" w:hAnsi="宋体" w:cs="宋体"/>
                <w:sz w:val="24"/>
                <w:szCs w:val="24"/>
                <w:lang w:val="en-US" w:eastAsia="zh-CN"/>
              </w:rPr>
            </w:pPr>
            <w:r>
              <w:rPr>
                <w:rFonts w:hint="eastAsia" w:ascii="宋体" w:hAnsi="宋体" w:cs="宋体"/>
                <w:sz w:val="24"/>
                <w:szCs w:val="24"/>
                <w:lang w:val="en-US" w:eastAsia="zh-CN"/>
              </w:rPr>
              <w:t>底盘高度</w:t>
            </w:r>
          </w:p>
        </w:tc>
        <w:tc>
          <w:tcPr>
            <w:tcW w:w="3417" w:type="dxa"/>
          </w:tcPr>
          <w:p>
            <w:pPr>
              <w:widowControl w:val="0"/>
              <w:numPr>
                <w:ilvl w:val="0"/>
                <w:numId w:val="0"/>
              </w:numPr>
              <w:spacing w:line="360" w:lineRule="auto"/>
              <w:jc w:val="center"/>
              <w:rPr>
                <w:rFonts w:hint="default" w:ascii="宋体" w:hAnsi="宋体" w:cs="宋体"/>
                <w:sz w:val="24"/>
                <w:szCs w:val="24"/>
                <w:vertAlign w:val="baseline"/>
                <w:lang w:val="en-US" w:eastAsia="zh-CN"/>
              </w:rPr>
            </w:pPr>
            <w:r>
              <w:rPr>
                <w:rFonts w:hint="eastAsia" w:ascii="宋体" w:hAnsi="宋体" w:cs="宋体"/>
                <w:sz w:val="24"/>
                <w:szCs w:val="24"/>
                <w:vertAlign w:val="baseline"/>
                <w:lang w:val="en-US" w:eastAsia="zh-CN"/>
              </w:rPr>
              <w:t>50</w:t>
            </w:r>
          </w:p>
        </w:tc>
      </w:tr>
    </w:tbl>
    <w:p>
      <w:pPr>
        <w:numPr>
          <w:ilvl w:val="0"/>
          <w:numId w:val="4"/>
        </w:numPr>
        <w:spacing w:line="360" w:lineRule="auto"/>
        <w:ind w:left="0" w:leftChars="0" w:firstLine="0" w:firstLineChars="0"/>
        <w:jc w:val="left"/>
        <w:rPr>
          <w:rFonts w:hint="default" w:ascii="宋体" w:hAnsi="宋体"/>
          <w:sz w:val="24"/>
          <w:szCs w:val="24"/>
          <w:lang w:val="en-US" w:eastAsia="zh-CN"/>
        </w:rPr>
      </w:pPr>
      <w:r>
        <w:rPr>
          <w:rFonts w:hint="default" w:ascii="宋体" w:hAnsi="宋体"/>
          <w:sz w:val="24"/>
          <w:szCs w:val="24"/>
          <w:lang w:val="en-US" w:eastAsia="zh-CN"/>
        </w:rPr>
        <w:t>出厂后每一具灭火器所有参数完全达到或超出国家执行标准。</w:t>
      </w:r>
    </w:p>
    <w:p>
      <w:pPr>
        <w:numPr>
          <w:ilvl w:val="0"/>
          <w:numId w:val="4"/>
        </w:numPr>
        <w:spacing w:line="360" w:lineRule="auto"/>
        <w:ind w:left="0" w:leftChars="0" w:firstLine="0" w:firstLineChars="0"/>
        <w:jc w:val="left"/>
        <w:rPr>
          <w:rFonts w:hint="default" w:ascii="宋体" w:hAnsi="宋体"/>
          <w:sz w:val="24"/>
          <w:szCs w:val="24"/>
          <w:lang w:val="en-US" w:eastAsia="zh-CN"/>
        </w:rPr>
      </w:pPr>
      <w:r>
        <w:rPr>
          <w:rFonts w:hint="default" w:ascii="宋体" w:hAnsi="宋体"/>
          <w:sz w:val="24"/>
          <w:szCs w:val="24"/>
          <w:lang w:val="en-US" w:eastAsia="zh-CN"/>
        </w:rPr>
        <w:t>灭火器瓶体采用酸洗磷化表面处理后，喷涂室外全树脂抗紫外线环保塑粉保护层，保护层涂装与瓶体金属有较强附着了，有效保护瓶体持久抗腐蚀锈烂能力。</w:t>
      </w:r>
    </w:p>
    <w:p>
      <w:pPr>
        <w:numPr>
          <w:ilvl w:val="0"/>
          <w:numId w:val="4"/>
        </w:numPr>
        <w:spacing w:line="360" w:lineRule="auto"/>
        <w:ind w:left="0" w:leftChars="0" w:firstLine="0" w:firstLineChars="0"/>
        <w:jc w:val="left"/>
        <w:rPr>
          <w:rFonts w:hint="default" w:ascii="宋体" w:hAnsi="宋体"/>
          <w:sz w:val="24"/>
          <w:szCs w:val="24"/>
          <w:lang w:val="en-US" w:eastAsia="zh-CN"/>
        </w:rPr>
      </w:pPr>
      <w:r>
        <w:rPr>
          <w:rFonts w:hint="default" w:ascii="宋体" w:hAnsi="宋体"/>
          <w:sz w:val="24"/>
          <w:szCs w:val="24"/>
          <w:lang w:val="en-US" w:eastAsia="zh-CN"/>
        </w:rPr>
        <w:t>干粉火器阀门采用挤压型高密度铜材制造，重量完全按国标要求90克执行，二氧化碳灭火器采用挤压型高密度铜材重量220克，有效达到灭火器安全性。</w:t>
      </w:r>
    </w:p>
    <w:p>
      <w:pPr>
        <w:numPr>
          <w:ilvl w:val="0"/>
          <w:numId w:val="4"/>
        </w:numPr>
        <w:spacing w:line="360" w:lineRule="auto"/>
        <w:ind w:left="0" w:leftChars="0" w:firstLine="0" w:firstLineChars="0"/>
        <w:jc w:val="left"/>
        <w:rPr>
          <w:rFonts w:hint="default" w:ascii="宋体" w:hAnsi="宋体"/>
          <w:sz w:val="24"/>
          <w:szCs w:val="24"/>
          <w:lang w:val="en-US" w:eastAsia="zh-CN"/>
        </w:rPr>
      </w:pPr>
      <w:r>
        <w:rPr>
          <w:rFonts w:hint="eastAsia" w:ascii="宋体" w:hAnsi="宋体"/>
          <w:sz w:val="24"/>
          <w:szCs w:val="24"/>
          <w:lang w:val="en-US" w:eastAsia="zh-CN"/>
        </w:rPr>
        <w:t>3</w:t>
      </w:r>
      <w:r>
        <w:rPr>
          <w:rFonts w:hint="default" w:ascii="宋体" w:hAnsi="宋体"/>
          <w:sz w:val="24"/>
          <w:szCs w:val="24"/>
          <w:lang w:val="en-US" w:eastAsia="zh-CN"/>
        </w:rPr>
        <w:t>干粉药剂严格采用90粉新标准</w:t>
      </w:r>
    </w:p>
    <w:p>
      <w:pPr>
        <w:numPr>
          <w:ilvl w:val="0"/>
          <w:numId w:val="4"/>
        </w:numPr>
        <w:spacing w:line="360" w:lineRule="auto"/>
        <w:ind w:left="0" w:leftChars="0" w:firstLine="0" w:firstLineChars="0"/>
        <w:jc w:val="left"/>
        <w:rPr>
          <w:rFonts w:hint="default" w:ascii="宋体" w:hAnsi="宋体"/>
          <w:sz w:val="24"/>
          <w:szCs w:val="24"/>
          <w:lang w:val="en-US" w:eastAsia="zh-CN"/>
        </w:rPr>
      </w:pPr>
      <w:r>
        <w:rPr>
          <w:rFonts w:hint="default" w:ascii="宋体" w:hAnsi="宋体"/>
          <w:sz w:val="24"/>
          <w:szCs w:val="24"/>
          <w:lang w:val="en-US" w:eastAsia="zh-CN"/>
        </w:rPr>
        <w:t>气压表采用独有的紫铜焊接.螺距对牙工艺，气压表绿区定位正上方，指针显示12点方向正。</w:t>
      </w:r>
    </w:p>
    <w:p>
      <w:pPr>
        <w:numPr>
          <w:ilvl w:val="0"/>
          <w:numId w:val="4"/>
        </w:numPr>
        <w:spacing w:line="360" w:lineRule="auto"/>
        <w:ind w:left="0" w:leftChars="0" w:firstLine="0" w:firstLineChars="0"/>
        <w:jc w:val="left"/>
        <w:rPr>
          <w:rFonts w:hint="default" w:ascii="宋体" w:hAnsi="宋体"/>
          <w:sz w:val="24"/>
          <w:szCs w:val="24"/>
          <w:lang w:val="en-US" w:eastAsia="zh-CN"/>
        </w:rPr>
      </w:pPr>
      <w:r>
        <w:rPr>
          <w:rFonts w:hint="default" w:ascii="宋体" w:hAnsi="宋体"/>
          <w:sz w:val="24"/>
          <w:szCs w:val="24"/>
          <w:lang w:val="en-US" w:eastAsia="zh-CN"/>
        </w:rPr>
        <w:t>阀门采用高密度挤压铜材，主体重量90克以上。</w:t>
      </w:r>
    </w:p>
    <w:p>
      <w:pPr>
        <w:numPr>
          <w:ilvl w:val="0"/>
          <w:numId w:val="4"/>
        </w:numPr>
        <w:spacing w:line="360" w:lineRule="auto"/>
        <w:rPr>
          <w:rFonts w:hint="eastAsia" w:ascii="宋体" w:hAnsi="宋体"/>
          <w:sz w:val="24"/>
          <w:szCs w:val="24"/>
        </w:rPr>
      </w:pPr>
      <w:r>
        <w:rPr>
          <w:rFonts w:ascii="宋体" w:hAnsi="宋体"/>
          <w:b/>
          <w:sz w:val="24"/>
          <w:szCs w:val="24"/>
        </w:rPr>
        <w:t>送样要求：各报价单位于报价截止日之前，须将所投产品的样品送达学校保卫处，由相关负责老师接收。采购结束后除中标单位以外，其余单位接到通知后自行上门取走。负责老师：</w:t>
      </w:r>
      <w:r>
        <w:rPr>
          <w:rFonts w:hint="eastAsia" w:ascii="宋体" w:hAnsi="宋体"/>
          <w:b/>
          <w:sz w:val="24"/>
          <w:szCs w:val="24"/>
          <w:lang w:val="en-US" w:eastAsia="zh-CN"/>
        </w:rPr>
        <w:t>舒</w:t>
      </w:r>
      <w:r>
        <w:rPr>
          <w:rFonts w:ascii="宋体" w:hAnsi="宋体"/>
          <w:b/>
          <w:sz w:val="24"/>
          <w:szCs w:val="24"/>
        </w:rPr>
        <w:t>老师，联系方式：021-</w:t>
      </w:r>
      <w:r>
        <w:rPr>
          <w:rFonts w:hint="eastAsia" w:ascii="宋体" w:hAnsi="宋体"/>
          <w:b/>
          <w:sz w:val="24"/>
          <w:szCs w:val="24"/>
          <w:lang w:val="en-US" w:eastAsia="zh-CN"/>
        </w:rPr>
        <w:t>39226651</w:t>
      </w:r>
      <w:r>
        <w:rPr>
          <w:rFonts w:ascii="宋体" w:hAnsi="宋体"/>
          <w:b/>
          <w:sz w:val="24"/>
          <w:szCs w:val="24"/>
        </w:rPr>
        <w:t>；如报价单位未按时送样，取消</w:t>
      </w:r>
      <w:r>
        <w:rPr>
          <w:rFonts w:hint="eastAsia" w:ascii="宋体" w:hAnsi="宋体"/>
          <w:b/>
          <w:sz w:val="24"/>
          <w:szCs w:val="24"/>
        </w:rPr>
        <w:t>此次询价</w:t>
      </w:r>
      <w:r>
        <w:rPr>
          <w:rFonts w:ascii="宋体" w:hAnsi="宋体"/>
          <w:b/>
          <w:sz w:val="24"/>
          <w:szCs w:val="24"/>
        </w:rPr>
        <w:t>资格。</w:t>
      </w:r>
    </w:p>
    <w:p>
      <w:pPr>
        <w:spacing w:line="360" w:lineRule="auto"/>
        <w:rPr>
          <w:rFonts w:ascii="宋体" w:hAnsi="宋体"/>
          <w:sz w:val="24"/>
          <w:szCs w:val="24"/>
        </w:rPr>
      </w:pPr>
      <w:r>
        <w:rPr>
          <w:rFonts w:ascii="宋体" w:hAnsi="宋体"/>
          <w:sz w:val="24"/>
          <w:szCs w:val="24"/>
        </w:rPr>
        <w:t>三、要求投标单位提供不少于2年的产品质保服务，期间内发生漏压、超压等情况予以免费换新。投标人接到质保通知后2小时内需完成更换工作，否则招标人有权在下次招标中将其列入黑名单。</w:t>
      </w:r>
    </w:p>
    <w:sectPr>
      <w:pgSz w:w="11906" w:h="16838"/>
      <w:pgMar w:top="1440" w:right="1080" w:bottom="1440" w:left="108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F000000"/>
    <w:multiLevelType w:val="multilevel"/>
    <w:tmpl w:val="2F000000"/>
    <w:lvl w:ilvl="0" w:tentative="0">
      <w:start w:val="1"/>
      <w:numFmt w:val="decimal"/>
      <w:suff w:val="nothing"/>
      <w:lvlText w:val="%1、"/>
      <w:lvlJc w:val="left"/>
    </w:lvl>
    <w:lvl w:ilvl="1" w:tentative="0">
      <w:start w:val="0"/>
      <w:numFmt w:val="none"/>
      <w:lvlText w:val=""/>
      <w:lvlJc w:val="left"/>
      <w:pPr>
        <w:tabs>
          <w:tab w:val="left" w:pos="360"/>
        </w:tabs>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none"/>
      <w:lvlText w:val=""/>
      <w:lvlJc w:val="left"/>
      <w:pPr>
        <w:tabs>
          <w:tab w:val="left" w:pos="360"/>
        </w:tabs>
      </w:pPr>
    </w:lvl>
    <w:lvl w:ilvl="5" w:tentative="0">
      <w:start w:val="0"/>
      <w:numFmt w:val="none"/>
      <w:lvlText w:val=""/>
      <w:lvlJc w:val="left"/>
      <w:pPr>
        <w:tabs>
          <w:tab w:val="left" w:pos="360"/>
        </w:tabs>
      </w:pPr>
    </w:lvl>
    <w:lvl w:ilvl="6" w:tentative="0">
      <w:start w:val="0"/>
      <w:numFmt w:val="none"/>
      <w:lvlText w:val=""/>
      <w:lvlJc w:val="left"/>
      <w:pPr>
        <w:tabs>
          <w:tab w:val="left" w:pos="360"/>
        </w:tabs>
      </w:pPr>
    </w:lvl>
    <w:lvl w:ilvl="7" w:tentative="0">
      <w:start w:val="0"/>
      <w:numFmt w:val="none"/>
      <w:lvlText w:val=""/>
      <w:lvlJc w:val="left"/>
      <w:pPr>
        <w:tabs>
          <w:tab w:val="left" w:pos="360"/>
        </w:tabs>
      </w:pPr>
    </w:lvl>
    <w:lvl w:ilvl="8" w:tentative="0">
      <w:start w:val="0"/>
      <w:numFmt w:val="none"/>
      <w:lvlText w:val=""/>
      <w:lvlJc w:val="left"/>
      <w:pPr>
        <w:tabs>
          <w:tab w:val="left" w:pos="360"/>
        </w:tabs>
      </w:pPr>
    </w:lvl>
  </w:abstractNum>
  <w:abstractNum w:abstractNumId="1">
    <w:nsid w:val="2F000001"/>
    <w:multiLevelType w:val="multilevel"/>
    <w:tmpl w:val="2F000001"/>
    <w:lvl w:ilvl="0" w:tentative="0">
      <w:start w:val="1"/>
      <w:numFmt w:val="decimal"/>
      <w:suff w:val="nothing"/>
      <w:lvlText w:val="（%1）"/>
      <w:lvlJc w:val="left"/>
    </w:lvl>
    <w:lvl w:ilvl="1" w:tentative="0">
      <w:start w:val="0"/>
      <w:numFmt w:val="none"/>
      <w:lvlText w:val=""/>
      <w:lvlJc w:val="left"/>
      <w:pPr>
        <w:tabs>
          <w:tab w:val="left" w:pos="360"/>
        </w:tabs>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none"/>
      <w:lvlText w:val=""/>
      <w:lvlJc w:val="left"/>
      <w:pPr>
        <w:tabs>
          <w:tab w:val="left" w:pos="360"/>
        </w:tabs>
      </w:pPr>
    </w:lvl>
    <w:lvl w:ilvl="5" w:tentative="0">
      <w:start w:val="0"/>
      <w:numFmt w:val="none"/>
      <w:lvlText w:val=""/>
      <w:lvlJc w:val="left"/>
      <w:pPr>
        <w:tabs>
          <w:tab w:val="left" w:pos="360"/>
        </w:tabs>
      </w:pPr>
    </w:lvl>
    <w:lvl w:ilvl="6" w:tentative="0">
      <w:start w:val="0"/>
      <w:numFmt w:val="none"/>
      <w:lvlText w:val=""/>
      <w:lvlJc w:val="left"/>
      <w:pPr>
        <w:tabs>
          <w:tab w:val="left" w:pos="360"/>
        </w:tabs>
      </w:pPr>
    </w:lvl>
    <w:lvl w:ilvl="7" w:tentative="0">
      <w:start w:val="0"/>
      <w:numFmt w:val="none"/>
      <w:lvlText w:val=""/>
      <w:lvlJc w:val="left"/>
      <w:pPr>
        <w:tabs>
          <w:tab w:val="left" w:pos="360"/>
        </w:tabs>
      </w:pPr>
    </w:lvl>
    <w:lvl w:ilvl="8" w:tentative="0">
      <w:start w:val="0"/>
      <w:numFmt w:val="none"/>
      <w:lvlText w:val=""/>
      <w:lvlJc w:val="left"/>
      <w:pPr>
        <w:tabs>
          <w:tab w:val="left" w:pos="360"/>
        </w:tabs>
      </w:pPr>
    </w:lvl>
  </w:abstractNum>
  <w:abstractNum w:abstractNumId="2">
    <w:nsid w:val="2F000002"/>
    <w:multiLevelType w:val="multilevel"/>
    <w:tmpl w:val="2F000002"/>
    <w:lvl w:ilvl="0" w:tentative="0">
      <w:start w:val="2"/>
      <w:numFmt w:val="decimal"/>
      <w:suff w:val="nothing"/>
      <w:lvlText w:val="%1、"/>
      <w:lvlJc w:val="left"/>
    </w:lvl>
    <w:lvl w:ilvl="1" w:tentative="0">
      <w:start w:val="0"/>
      <w:numFmt w:val="none"/>
      <w:lvlText w:val=""/>
      <w:lvlJc w:val="left"/>
      <w:pPr>
        <w:tabs>
          <w:tab w:val="left" w:pos="360"/>
        </w:tabs>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none"/>
      <w:lvlText w:val=""/>
      <w:lvlJc w:val="left"/>
      <w:pPr>
        <w:tabs>
          <w:tab w:val="left" w:pos="360"/>
        </w:tabs>
      </w:pPr>
    </w:lvl>
    <w:lvl w:ilvl="5" w:tentative="0">
      <w:start w:val="0"/>
      <w:numFmt w:val="none"/>
      <w:lvlText w:val=""/>
      <w:lvlJc w:val="left"/>
      <w:pPr>
        <w:tabs>
          <w:tab w:val="left" w:pos="360"/>
        </w:tabs>
      </w:pPr>
    </w:lvl>
    <w:lvl w:ilvl="6" w:tentative="0">
      <w:start w:val="0"/>
      <w:numFmt w:val="none"/>
      <w:lvlText w:val=""/>
      <w:lvlJc w:val="left"/>
      <w:pPr>
        <w:tabs>
          <w:tab w:val="left" w:pos="360"/>
        </w:tabs>
      </w:pPr>
    </w:lvl>
    <w:lvl w:ilvl="7" w:tentative="0">
      <w:start w:val="0"/>
      <w:numFmt w:val="none"/>
      <w:lvlText w:val=""/>
      <w:lvlJc w:val="left"/>
      <w:pPr>
        <w:tabs>
          <w:tab w:val="left" w:pos="360"/>
        </w:tabs>
      </w:pPr>
    </w:lvl>
    <w:lvl w:ilvl="8" w:tentative="0">
      <w:start w:val="0"/>
      <w:numFmt w:val="none"/>
      <w:lvlText w:val=""/>
      <w:lvlJc w:val="left"/>
      <w:pPr>
        <w:tabs>
          <w:tab w:val="left" w:pos="360"/>
        </w:tabs>
      </w:pPr>
    </w:lvl>
  </w:abstractNum>
  <w:abstractNum w:abstractNumId="3">
    <w:nsid w:val="2F000003"/>
    <w:multiLevelType w:val="multilevel"/>
    <w:tmpl w:val="2F000003"/>
    <w:lvl w:ilvl="0" w:tentative="0">
      <w:start w:val="1"/>
      <w:numFmt w:val="decimal"/>
      <w:suff w:val="nothing"/>
      <w:lvlText w:val="%1、"/>
      <w:lvlJc w:val="left"/>
    </w:lvl>
    <w:lvl w:ilvl="1" w:tentative="0">
      <w:start w:val="0"/>
      <w:numFmt w:val="none"/>
      <w:lvlText w:val=""/>
      <w:lvlJc w:val="left"/>
      <w:pPr>
        <w:tabs>
          <w:tab w:val="left" w:pos="360"/>
        </w:tabs>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none"/>
      <w:lvlText w:val=""/>
      <w:lvlJc w:val="left"/>
      <w:pPr>
        <w:tabs>
          <w:tab w:val="left" w:pos="360"/>
        </w:tabs>
      </w:pPr>
    </w:lvl>
    <w:lvl w:ilvl="5" w:tentative="0">
      <w:start w:val="0"/>
      <w:numFmt w:val="none"/>
      <w:lvlText w:val=""/>
      <w:lvlJc w:val="left"/>
      <w:pPr>
        <w:tabs>
          <w:tab w:val="left" w:pos="360"/>
        </w:tabs>
      </w:pPr>
    </w:lvl>
    <w:lvl w:ilvl="6" w:tentative="0">
      <w:start w:val="0"/>
      <w:numFmt w:val="none"/>
      <w:lvlText w:val=""/>
      <w:lvlJc w:val="left"/>
      <w:pPr>
        <w:tabs>
          <w:tab w:val="left" w:pos="360"/>
        </w:tabs>
      </w:pPr>
    </w:lvl>
    <w:lvl w:ilvl="7" w:tentative="0">
      <w:start w:val="0"/>
      <w:numFmt w:val="none"/>
      <w:lvlText w:val=""/>
      <w:lvlJc w:val="left"/>
      <w:pPr>
        <w:tabs>
          <w:tab w:val="left" w:pos="360"/>
        </w:tabs>
      </w:pPr>
    </w:lvl>
    <w:lvl w:ilvl="8" w:tentative="0">
      <w:start w:val="0"/>
      <w:numFmt w:val="none"/>
      <w:lvlText w:val=""/>
      <w:lvlJc w:val="left"/>
      <w:pPr>
        <w:tabs>
          <w:tab w:val="left" w:pos="360"/>
        </w:tabs>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balanceSingleByteDoubleByteWidth/>
    <w:ulTrailSpace/>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3032"/>
    <w:rsid w:val="00AA2EFF"/>
    <w:rsid w:val="00AF73D7"/>
    <w:rsid w:val="00B43032"/>
    <w:rsid w:val="0D1077B9"/>
    <w:rsid w:val="10193168"/>
    <w:rsid w:val="1C8A35C9"/>
    <w:rsid w:val="24643642"/>
    <w:rsid w:val="34386E6A"/>
    <w:rsid w:val="3C4E5371"/>
    <w:rsid w:val="3E8D5896"/>
    <w:rsid w:val="4C860111"/>
    <w:rsid w:val="53C31176"/>
    <w:rsid w:val="66F176E0"/>
  </w:rsids>
  <m:mathPr>
    <m:mathFont m:val="Cambria Math"/>
    <m:brkBin m:val="before"/>
    <m:brkBinSub m:val="--"/>
    <m:smallFrac m:val="1"/>
    <m:dispDef/>
    <m:lMargin m:val="1440"/>
    <m:rMargin m:val="144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7" w:semiHidden="0" w:name="heading 1"/>
    <w:lsdException w:qFormat="1" w:unhideWhenUsed="0" w:uiPriority="8" w:semiHidden="0" w:name="heading 2"/>
    <w:lsdException w:qFormat="1" w:unhideWhenUsed="0" w:uiPriority="9" w:semiHidden="0" w:name="heading 3"/>
    <w:lsdException w:qFormat="1" w:unhideWhenUsed="0" w:uiPriority="10" w:semiHidden="0" w:name="heading 4"/>
    <w:lsdException w:qFormat="1" w:unhideWhenUsed="0" w:uiPriority="11" w:semiHidden="0" w:name="heading 5"/>
    <w:lsdException w:qFormat="1" w:unhideWhenUsed="0" w:uiPriority="12" w:semiHidden="0" w:name="heading 6"/>
    <w:lsdException w:qFormat="1" w:unhideWhenUsed="0" w:uiPriority="13" w:semiHidden="0" w:name="heading 7"/>
    <w:lsdException w:qFormat="1" w:unhideWhenUsed="0" w:uiPriority="14" w:semiHidden="0" w:name="heading 8"/>
    <w:lsdException w:qFormat="1" w:unhideWhenUsed="0" w:uiPriority="15"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28" w:semiHidden="0" w:name="toc 1"/>
    <w:lsdException w:qFormat="1" w:uiPriority="29" w:semiHidden="0" w:name="toc 2"/>
    <w:lsdException w:qFormat="1" w:uiPriority="30" w:semiHidden="0" w:name="toc 3"/>
    <w:lsdException w:qFormat="1" w:uiPriority="31" w:semiHidden="0" w:name="toc 4"/>
    <w:lsdException w:qFormat="1" w:uiPriority="32" w:semiHidden="0" w:name="toc 5"/>
    <w:lsdException w:qFormat="1" w:uiPriority="33" w:semiHidden="0" w:name="toc 6"/>
    <w:lsdException w:qFormat="1" w:uiPriority="34" w:semiHidden="0" w:name="toc 7"/>
    <w:lsdException w:qFormat="1" w:uiPriority="35" w:semiHidden="0" w:name="toc 8"/>
    <w:lsdException w:qFormat="1" w:uiPriority="36" w:semiHidden="0"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6"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6"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0" w:semiHidden="0" w:name="Strong"/>
    <w:lsdException w:qFormat="1" w:unhideWhenUsed="0" w:uiPriority="18"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qFormat="1" w:unhideWhenUsed="0" w:uiPriority="5"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26" w:semiHidden="0" w:name="List Paragraph"/>
    <w:lsdException w:qFormat="1" w:unhideWhenUsed="0" w:uiPriority="21" w:semiHidden="0" w:name="Quote"/>
    <w:lsdException w:qFormat="1" w:unhideWhenUsed="0" w:uiPriority="22"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jc w:val="both"/>
    </w:pPr>
    <w:rPr>
      <w:rFonts w:ascii="Calibri" w:hAnsi="Calibri" w:eastAsia="宋体" w:cs="Times New Roman"/>
      <w:sz w:val="21"/>
      <w:szCs w:val="21"/>
      <w:lang w:val="en-US" w:eastAsia="zh-CN" w:bidi="ar-SA"/>
    </w:rPr>
  </w:style>
  <w:style w:type="paragraph" w:styleId="2">
    <w:name w:val="heading 1"/>
    <w:next w:val="1"/>
    <w:qFormat/>
    <w:uiPriority w:val="7"/>
    <w:pPr>
      <w:jc w:val="both"/>
      <w:outlineLvl w:val="0"/>
    </w:pPr>
    <w:rPr>
      <w:rFonts w:ascii="Calibri" w:hAnsi="Calibri" w:eastAsia="宋体" w:cs="Times New Roman"/>
      <w:sz w:val="28"/>
      <w:szCs w:val="28"/>
      <w:lang w:val="en-US" w:eastAsia="zh-CN" w:bidi="ar-SA"/>
    </w:rPr>
  </w:style>
  <w:style w:type="paragraph" w:styleId="3">
    <w:name w:val="heading 2"/>
    <w:next w:val="1"/>
    <w:qFormat/>
    <w:uiPriority w:val="8"/>
    <w:pPr>
      <w:jc w:val="both"/>
      <w:outlineLvl w:val="1"/>
    </w:pPr>
    <w:rPr>
      <w:rFonts w:ascii="Calibri" w:hAnsi="Calibri" w:eastAsia="宋体" w:cs="Times New Roman"/>
      <w:sz w:val="21"/>
      <w:szCs w:val="21"/>
      <w:lang w:val="en-US" w:eastAsia="zh-CN" w:bidi="ar-SA"/>
    </w:rPr>
  </w:style>
  <w:style w:type="paragraph" w:styleId="4">
    <w:name w:val="heading 3"/>
    <w:next w:val="1"/>
    <w:qFormat/>
    <w:uiPriority w:val="9"/>
    <w:pPr>
      <w:ind w:left="1000" w:hanging="400"/>
      <w:jc w:val="both"/>
      <w:outlineLvl w:val="2"/>
    </w:pPr>
    <w:rPr>
      <w:rFonts w:ascii="Calibri" w:hAnsi="Calibri" w:eastAsia="宋体" w:cs="Times New Roman"/>
      <w:sz w:val="21"/>
      <w:szCs w:val="21"/>
      <w:lang w:val="en-US" w:eastAsia="zh-CN" w:bidi="ar-SA"/>
    </w:rPr>
  </w:style>
  <w:style w:type="paragraph" w:styleId="5">
    <w:name w:val="heading 4"/>
    <w:next w:val="1"/>
    <w:qFormat/>
    <w:uiPriority w:val="10"/>
    <w:pPr>
      <w:ind w:left="1200" w:hanging="400"/>
      <w:jc w:val="both"/>
      <w:outlineLvl w:val="3"/>
    </w:pPr>
    <w:rPr>
      <w:rFonts w:ascii="Calibri" w:hAnsi="Calibri" w:eastAsia="宋体" w:cs="Times New Roman"/>
      <w:b/>
      <w:sz w:val="21"/>
      <w:szCs w:val="21"/>
      <w:lang w:val="en-US" w:eastAsia="zh-CN" w:bidi="ar-SA"/>
    </w:rPr>
  </w:style>
  <w:style w:type="paragraph" w:styleId="6">
    <w:name w:val="heading 5"/>
    <w:next w:val="1"/>
    <w:qFormat/>
    <w:uiPriority w:val="11"/>
    <w:pPr>
      <w:ind w:left="1400" w:hanging="400"/>
      <w:jc w:val="both"/>
      <w:outlineLvl w:val="4"/>
    </w:pPr>
    <w:rPr>
      <w:rFonts w:ascii="Calibri" w:hAnsi="Calibri" w:eastAsia="宋体" w:cs="Times New Roman"/>
      <w:sz w:val="21"/>
      <w:szCs w:val="21"/>
      <w:lang w:val="en-US" w:eastAsia="zh-CN" w:bidi="ar-SA"/>
    </w:rPr>
  </w:style>
  <w:style w:type="paragraph" w:styleId="7">
    <w:name w:val="heading 6"/>
    <w:next w:val="1"/>
    <w:qFormat/>
    <w:uiPriority w:val="12"/>
    <w:pPr>
      <w:ind w:left="1600" w:hanging="400"/>
      <w:jc w:val="both"/>
      <w:outlineLvl w:val="5"/>
    </w:pPr>
    <w:rPr>
      <w:rFonts w:ascii="Calibri" w:hAnsi="Calibri" w:eastAsia="宋体" w:cs="Times New Roman"/>
      <w:b/>
      <w:sz w:val="21"/>
      <w:szCs w:val="21"/>
      <w:lang w:val="en-US" w:eastAsia="zh-CN" w:bidi="ar-SA"/>
    </w:rPr>
  </w:style>
  <w:style w:type="paragraph" w:styleId="8">
    <w:name w:val="heading 7"/>
    <w:next w:val="1"/>
    <w:qFormat/>
    <w:uiPriority w:val="13"/>
    <w:pPr>
      <w:ind w:left="1800" w:hanging="400"/>
      <w:jc w:val="both"/>
      <w:outlineLvl w:val="6"/>
    </w:pPr>
    <w:rPr>
      <w:rFonts w:ascii="Calibri" w:hAnsi="Calibri" w:eastAsia="宋体" w:cs="Times New Roman"/>
      <w:sz w:val="21"/>
      <w:szCs w:val="21"/>
      <w:lang w:val="en-US" w:eastAsia="zh-CN" w:bidi="ar-SA"/>
    </w:rPr>
  </w:style>
  <w:style w:type="paragraph" w:styleId="9">
    <w:name w:val="heading 8"/>
    <w:next w:val="1"/>
    <w:qFormat/>
    <w:uiPriority w:val="14"/>
    <w:pPr>
      <w:ind w:left="2000" w:hanging="400"/>
      <w:jc w:val="both"/>
      <w:outlineLvl w:val="7"/>
    </w:pPr>
    <w:rPr>
      <w:rFonts w:ascii="Calibri" w:hAnsi="Calibri" w:eastAsia="宋体" w:cs="Times New Roman"/>
      <w:sz w:val="21"/>
      <w:szCs w:val="21"/>
      <w:lang w:val="en-US" w:eastAsia="zh-CN" w:bidi="ar-SA"/>
    </w:rPr>
  </w:style>
  <w:style w:type="paragraph" w:styleId="10">
    <w:name w:val="heading 9"/>
    <w:next w:val="1"/>
    <w:qFormat/>
    <w:uiPriority w:val="15"/>
    <w:pPr>
      <w:ind w:left="2200" w:hanging="400"/>
      <w:jc w:val="both"/>
      <w:outlineLvl w:val="8"/>
    </w:pPr>
    <w:rPr>
      <w:rFonts w:ascii="Calibri" w:hAnsi="Calibri" w:eastAsia="宋体" w:cs="Times New Roman"/>
      <w:sz w:val="21"/>
      <w:szCs w:val="21"/>
      <w:lang w:val="en-US" w:eastAsia="zh-CN" w:bidi="ar-SA"/>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11">
    <w:name w:val="toc 7"/>
    <w:next w:val="1"/>
    <w:unhideWhenUsed/>
    <w:qFormat/>
    <w:uiPriority w:val="34"/>
    <w:pPr>
      <w:ind w:left="2550"/>
      <w:jc w:val="both"/>
    </w:pPr>
    <w:rPr>
      <w:rFonts w:ascii="Calibri" w:hAnsi="Calibri" w:eastAsia="宋体" w:cs="Times New Roman"/>
      <w:sz w:val="21"/>
      <w:szCs w:val="21"/>
      <w:lang w:val="en-US" w:eastAsia="zh-CN" w:bidi="ar-SA"/>
    </w:rPr>
  </w:style>
  <w:style w:type="paragraph" w:styleId="12">
    <w:name w:val="toc 5"/>
    <w:next w:val="1"/>
    <w:unhideWhenUsed/>
    <w:qFormat/>
    <w:uiPriority w:val="32"/>
    <w:pPr>
      <w:ind w:left="1700"/>
      <w:jc w:val="both"/>
    </w:pPr>
    <w:rPr>
      <w:rFonts w:ascii="Calibri" w:hAnsi="Calibri" w:eastAsia="宋体" w:cs="Times New Roman"/>
      <w:sz w:val="21"/>
      <w:szCs w:val="21"/>
      <w:lang w:val="en-US" w:eastAsia="zh-CN" w:bidi="ar-SA"/>
    </w:rPr>
  </w:style>
  <w:style w:type="paragraph" w:styleId="13">
    <w:name w:val="toc 3"/>
    <w:next w:val="1"/>
    <w:unhideWhenUsed/>
    <w:qFormat/>
    <w:uiPriority w:val="30"/>
    <w:pPr>
      <w:ind w:left="850"/>
      <w:jc w:val="both"/>
    </w:pPr>
    <w:rPr>
      <w:rFonts w:ascii="Calibri" w:hAnsi="Calibri" w:eastAsia="宋体" w:cs="Times New Roman"/>
      <w:sz w:val="21"/>
      <w:szCs w:val="21"/>
      <w:lang w:val="en-US" w:eastAsia="zh-CN" w:bidi="ar-SA"/>
    </w:rPr>
  </w:style>
  <w:style w:type="paragraph" w:styleId="14">
    <w:name w:val="toc 8"/>
    <w:next w:val="1"/>
    <w:unhideWhenUsed/>
    <w:qFormat/>
    <w:uiPriority w:val="35"/>
    <w:pPr>
      <w:ind w:left="2975"/>
      <w:jc w:val="both"/>
    </w:pPr>
    <w:rPr>
      <w:rFonts w:ascii="Calibri" w:hAnsi="Calibri" w:eastAsia="宋体" w:cs="Times New Roman"/>
      <w:sz w:val="21"/>
      <w:szCs w:val="21"/>
      <w:lang w:val="en-US" w:eastAsia="zh-CN" w:bidi="ar-SA"/>
    </w:rPr>
  </w:style>
  <w:style w:type="paragraph" w:styleId="15">
    <w:name w:val="Balloon Text"/>
    <w:basedOn w:val="1"/>
    <w:link w:val="42"/>
    <w:qFormat/>
    <w:uiPriority w:val="0"/>
    <w:rPr>
      <w:sz w:val="18"/>
      <w:szCs w:val="18"/>
    </w:rPr>
  </w:style>
  <w:style w:type="paragraph" w:styleId="16">
    <w:name w:val="footer"/>
    <w:basedOn w:val="1"/>
    <w:link w:val="41"/>
    <w:qFormat/>
    <w:uiPriority w:val="0"/>
    <w:pPr>
      <w:tabs>
        <w:tab w:val="center" w:pos="4153"/>
        <w:tab w:val="right" w:pos="8306"/>
      </w:tabs>
    </w:pPr>
    <w:rPr>
      <w:sz w:val="18"/>
      <w:szCs w:val="18"/>
    </w:rPr>
  </w:style>
  <w:style w:type="paragraph" w:styleId="17">
    <w:name w:val="header"/>
    <w:basedOn w:val="1"/>
    <w:link w:val="40"/>
    <w:qFormat/>
    <w:uiPriority w:val="0"/>
    <w:pPr>
      <w:tabs>
        <w:tab w:val="center" w:pos="4153"/>
        <w:tab w:val="right" w:pos="8306"/>
      </w:tabs>
      <w:jc w:val="center"/>
    </w:pPr>
    <w:rPr>
      <w:sz w:val="18"/>
      <w:szCs w:val="18"/>
    </w:rPr>
  </w:style>
  <w:style w:type="paragraph" w:styleId="18">
    <w:name w:val="toc 1"/>
    <w:next w:val="1"/>
    <w:unhideWhenUsed/>
    <w:qFormat/>
    <w:uiPriority w:val="28"/>
    <w:pPr>
      <w:jc w:val="both"/>
    </w:pPr>
    <w:rPr>
      <w:rFonts w:ascii="Calibri" w:hAnsi="Calibri" w:eastAsia="宋体" w:cs="Times New Roman"/>
      <w:sz w:val="21"/>
      <w:szCs w:val="21"/>
      <w:lang w:val="en-US" w:eastAsia="zh-CN" w:bidi="ar-SA"/>
    </w:rPr>
  </w:style>
  <w:style w:type="paragraph" w:styleId="19">
    <w:name w:val="toc 4"/>
    <w:next w:val="1"/>
    <w:unhideWhenUsed/>
    <w:qFormat/>
    <w:uiPriority w:val="31"/>
    <w:pPr>
      <w:ind w:left="1275"/>
      <w:jc w:val="both"/>
    </w:pPr>
    <w:rPr>
      <w:rFonts w:ascii="Calibri" w:hAnsi="Calibri" w:eastAsia="宋体" w:cs="Times New Roman"/>
      <w:sz w:val="21"/>
      <w:szCs w:val="21"/>
      <w:lang w:val="en-US" w:eastAsia="zh-CN" w:bidi="ar-SA"/>
    </w:rPr>
  </w:style>
  <w:style w:type="paragraph" w:styleId="20">
    <w:name w:val="Subtitle"/>
    <w:qFormat/>
    <w:uiPriority w:val="16"/>
    <w:pPr>
      <w:jc w:val="center"/>
    </w:pPr>
    <w:rPr>
      <w:rFonts w:ascii="Calibri" w:hAnsi="Calibri" w:eastAsia="宋体" w:cs="Times New Roman"/>
      <w:sz w:val="24"/>
      <w:szCs w:val="24"/>
      <w:lang w:val="en-US" w:eastAsia="zh-CN" w:bidi="ar-SA"/>
    </w:rPr>
  </w:style>
  <w:style w:type="paragraph" w:styleId="21">
    <w:name w:val="toc 6"/>
    <w:next w:val="1"/>
    <w:unhideWhenUsed/>
    <w:qFormat/>
    <w:uiPriority w:val="33"/>
    <w:pPr>
      <w:ind w:left="2125"/>
      <w:jc w:val="both"/>
    </w:pPr>
    <w:rPr>
      <w:rFonts w:ascii="Calibri" w:hAnsi="Calibri" w:eastAsia="宋体" w:cs="Times New Roman"/>
      <w:sz w:val="21"/>
      <w:szCs w:val="21"/>
      <w:lang w:val="en-US" w:eastAsia="zh-CN" w:bidi="ar-SA"/>
    </w:rPr>
  </w:style>
  <w:style w:type="paragraph" w:styleId="22">
    <w:name w:val="toc 2"/>
    <w:next w:val="1"/>
    <w:unhideWhenUsed/>
    <w:qFormat/>
    <w:uiPriority w:val="29"/>
    <w:pPr>
      <w:ind w:left="425"/>
      <w:jc w:val="both"/>
    </w:pPr>
    <w:rPr>
      <w:rFonts w:ascii="Calibri" w:hAnsi="Calibri" w:eastAsia="宋体" w:cs="Times New Roman"/>
      <w:sz w:val="21"/>
      <w:szCs w:val="21"/>
      <w:lang w:val="en-US" w:eastAsia="zh-CN" w:bidi="ar-SA"/>
    </w:rPr>
  </w:style>
  <w:style w:type="paragraph" w:styleId="23">
    <w:name w:val="toc 9"/>
    <w:next w:val="1"/>
    <w:unhideWhenUsed/>
    <w:qFormat/>
    <w:uiPriority w:val="36"/>
    <w:pPr>
      <w:ind w:left="3400"/>
      <w:jc w:val="both"/>
    </w:pPr>
    <w:rPr>
      <w:rFonts w:ascii="Calibri" w:hAnsi="Calibri" w:eastAsia="宋体" w:cs="Times New Roman"/>
      <w:sz w:val="21"/>
      <w:szCs w:val="21"/>
      <w:lang w:val="en-US" w:eastAsia="zh-CN" w:bidi="ar-SA"/>
    </w:rPr>
  </w:style>
  <w:style w:type="paragraph" w:styleId="24">
    <w:name w:val="Title"/>
    <w:qFormat/>
    <w:uiPriority w:val="6"/>
    <w:pPr>
      <w:jc w:val="center"/>
    </w:pPr>
    <w:rPr>
      <w:rFonts w:ascii="Calibri" w:hAnsi="Calibri" w:eastAsia="宋体" w:cs="Times New Roman"/>
      <w:b/>
      <w:sz w:val="32"/>
      <w:szCs w:val="32"/>
      <w:lang w:val="en-US" w:eastAsia="zh-CN" w:bidi="ar-SA"/>
    </w:rPr>
  </w:style>
  <w:style w:type="table" w:styleId="26">
    <w:name w:val="Table Grid"/>
    <w:basedOn w:val="25"/>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qFormat/>
    <w:uiPriority w:val="20"/>
    <w:rPr>
      <w:b/>
      <w:w w:val="100"/>
      <w:sz w:val="21"/>
      <w:szCs w:val="21"/>
      <w:shd w:val="clear" w:color="auto" w:fill="auto"/>
    </w:rPr>
  </w:style>
  <w:style w:type="character" w:styleId="29">
    <w:name w:val="Emphasis"/>
    <w:qFormat/>
    <w:uiPriority w:val="18"/>
    <w:rPr>
      <w:i/>
      <w:w w:val="100"/>
      <w:sz w:val="21"/>
      <w:szCs w:val="21"/>
      <w:shd w:val="clear" w:color="auto" w:fill="auto"/>
    </w:rPr>
  </w:style>
  <w:style w:type="paragraph" w:styleId="30">
    <w:name w:val="No Spacing"/>
    <w:qFormat/>
    <w:uiPriority w:val="5"/>
    <w:pPr>
      <w:jc w:val="both"/>
    </w:pPr>
    <w:rPr>
      <w:rFonts w:ascii="Calibri" w:hAnsi="Calibri" w:eastAsia="宋体" w:cs="Times New Roman"/>
      <w:sz w:val="21"/>
      <w:szCs w:val="21"/>
      <w:lang w:val="en-US" w:eastAsia="zh-CN" w:bidi="ar-SA"/>
    </w:rPr>
  </w:style>
  <w:style w:type="character" w:customStyle="1" w:styleId="31">
    <w:name w:val="Subtle Emphasis"/>
    <w:qFormat/>
    <w:uiPriority w:val="17"/>
    <w:rPr>
      <w:i/>
      <w:color w:val="404040"/>
      <w:w w:val="100"/>
      <w:sz w:val="21"/>
      <w:szCs w:val="21"/>
      <w:shd w:val="clear" w:color="auto" w:fill="auto"/>
    </w:rPr>
  </w:style>
  <w:style w:type="character" w:customStyle="1" w:styleId="32">
    <w:name w:val="Intense Emphasis"/>
    <w:qFormat/>
    <w:uiPriority w:val="19"/>
    <w:rPr>
      <w:i/>
      <w:color w:val="5B9BD5"/>
      <w:w w:val="100"/>
      <w:sz w:val="21"/>
      <w:szCs w:val="21"/>
      <w:shd w:val="clear" w:color="auto" w:fill="auto"/>
    </w:rPr>
  </w:style>
  <w:style w:type="paragraph" w:styleId="33">
    <w:name w:val="Quote"/>
    <w:qFormat/>
    <w:uiPriority w:val="21"/>
    <w:pPr>
      <w:ind w:left="864" w:right="864"/>
      <w:jc w:val="center"/>
    </w:pPr>
    <w:rPr>
      <w:rFonts w:ascii="Calibri" w:hAnsi="Calibri" w:eastAsia="宋体" w:cs="Times New Roman"/>
      <w:i/>
      <w:color w:val="404040"/>
      <w:sz w:val="21"/>
      <w:szCs w:val="21"/>
      <w:lang w:val="en-US" w:eastAsia="zh-CN" w:bidi="ar-SA"/>
    </w:rPr>
  </w:style>
  <w:style w:type="paragraph" w:styleId="34">
    <w:name w:val="Intense Quote"/>
    <w:qFormat/>
    <w:uiPriority w:val="22"/>
    <w:pPr>
      <w:ind w:left="950" w:right="950"/>
      <w:jc w:val="center"/>
    </w:pPr>
    <w:rPr>
      <w:rFonts w:ascii="Calibri" w:hAnsi="Calibri" w:eastAsia="宋体" w:cs="Times New Roman"/>
      <w:i/>
      <w:color w:val="5B9BD5"/>
      <w:sz w:val="21"/>
      <w:szCs w:val="21"/>
      <w:lang w:val="en-US" w:eastAsia="zh-CN" w:bidi="ar-SA"/>
    </w:rPr>
  </w:style>
  <w:style w:type="character" w:customStyle="1" w:styleId="35">
    <w:name w:val="Subtle Reference"/>
    <w:qFormat/>
    <w:uiPriority w:val="23"/>
    <w:rPr>
      <w:smallCaps/>
      <w:color w:val="5A5A5A"/>
      <w:w w:val="100"/>
      <w:sz w:val="21"/>
      <w:szCs w:val="21"/>
      <w:shd w:val="clear" w:color="auto" w:fill="auto"/>
    </w:rPr>
  </w:style>
  <w:style w:type="character" w:customStyle="1" w:styleId="36">
    <w:name w:val="Intense Reference"/>
    <w:qFormat/>
    <w:uiPriority w:val="24"/>
    <w:rPr>
      <w:b/>
      <w:smallCaps/>
      <w:color w:val="5B9BD5"/>
      <w:w w:val="100"/>
      <w:sz w:val="21"/>
      <w:szCs w:val="21"/>
      <w:shd w:val="clear" w:color="auto" w:fill="auto"/>
    </w:rPr>
  </w:style>
  <w:style w:type="character" w:customStyle="1" w:styleId="37">
    <w:name w:val="Book Title"/>
    <w:qFormat/>
    <w:uiPriority w:val="25"/>
    <w:rPr>
      <w:b/>
      <w:i/>
      <w:w w:val="100"/>
      <w:sz w:val="21"/>
      <w:szCs w:val="21"/>
      <w:shd w:val="clear" w:color="auto" w:fill="auto"/>
    </w:rPr>
  </w:style>
  <w:style w:type="paragraph" w:styleId="38">
    <w:name w:val="List Paragraph"/>
    <w:qFormat/>
    <w:uiPriority w:val="26"/>
    <w:pPr>
      <w:ind w:left="850"/>
      <w:jc w:val="both"/>
    </w:pPr>
    <w:rPr>
      <w:rFonts w:ascii="Calibri" w:hAnsi="Calibri" w:eastAsia="宋体" w:cs="Times New Roman"/>
      <w:sz w:val="21"/>
      <w:szCs w:val="21"/>
      <w:lang w:val="en-US" w:eastAsia="zh-CN" w:bidi="ar-SA"/>
    </w:rPr>
  </w:style>
  <w:style w:type="paragraph" w:customStyle="1" w:styleId="39">
    <w:name w:val="TOC Heading"/>
    <w:unhideWhenUsed/>
    <w:qFormat/>
    <w:uiPriority w:val="27"/>
    <w:rPr>
      <w:rFonts w:ascii="Calibri" w:hAnsi="Calibri" w:eastAsia="宋体" w:cs="Times New Roman"/>
      <w:color w:val="2E74B5"/>
      <w:sz w:val="32"/>
      <w:szCs w:val="32"/>
      <w:lang w:val="en-US" w:eastAsia="zh-CN" w:bidi="ar-SA"/>
    </w:rPr>
  </w:style>
  <w:style w:type="character" w:customStyle="1" w:styleId="40">
    <w:name w:val="页眉 Char"/>
    <w:basedOn w:val="27"/>
    <w:link w:val="17"/>
    <w:qFormat/>
    <w:uiPriority w:val="0"/>
    <w:rPr>
      <w:w w:val="100"/>
      <w:sz w:val="18"/>
      <w:szCs w:val="18"/>
      <w:shd w:val="clear" w:color="auto" w:fill="auto"/>
    </w:rPr>
  </w:style>
  <w:style w:type="character" w:customStyle="1" w:styleId="41">
    <w:name w:val="页脚 Char"/>
    <w:basedOn w:val="27"/>
    <w:link w:val="16"/>
    <w:qFormat/>
    <w:uiPriority w:val="0"/>
    <w:rPr>
      <w:w w:val="100"/>
      <w:sz w:val="18"/>
      <w:szCs w:val="18"/>
      <w:shd w:val="clear" w:color="auto" w:fill="auto"/>
    </w:rPr>
  </w:style>
  <w:style w:type="character" w:customStyle="1" w:styleId="42">
    <w:name w:val="批注框文本 Char"/>
    <w:basedOn w:val="27"/>
    <w:link w:val="15"/>
    <w:qFormat/>
    <w:uiPriority w:val="0"/>
    <w:rPr>
      <w:w w:val="100"/>
      <w:sz w:val="18"/>
      <w:szCs w:val="18"/>
      <w:shd w:val="clear" w:color="auto" w:fill="auto"/>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黑体"/>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宋体"/>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101</Words>
  <Characters>577</Characters>
  <Lines>4</Lines>
  <Paragraphs>1</Paragraphs>
  <TotalTime>22</TotalTime>
  <ScaleCrop>false</ScaleCrop>
  <LinksUpToDate>false</LinksUpToDate>
  <CharactersWithSpaces>677</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2019-05-13T05:30:00Z</dcterms:created>
  <dc:creator>Administrator</dc:creator>
  <cp:lastModifiedBy>吴明+一笑风云过</cp:lastModifiedBy>
  <dcterms:modified xsi:type="dcterms:W3CDTF">2021-10-12T02:56:34Z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E55D46296D284B4492B2B5667636E347</vt:lpwstr>
  </property>
</Properties>
</file>